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90459" w14:textId="0F79FB9F"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661EE4">
        <w:rPr>
          <w:rFonts w:ascii="Arial" w:eastAsia="Times New Roman" w:hAnsi="Arial"/>
          <w:b/>
          <w:bCs/>
          <w:sz w:val="24"/>
          <w:szCs w:val="24"/>
        </w:rPr>
        <w:t>6e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R2</w:t>
      </w:r>
      <w:r w:rsidR="002B6755">
        <w:rPr>
          <w:rFonts w:ascii="Arial" w:hAnsi="Arial" w:cs="Arial"/>
          <w:b/>
          <w:bCs/>
          <w:color w:val="000000" w:themeColor="text1"/>
          <w:sz w:val="26"/>
          <w:szCs w:val="26"/>
        </w:rPr>
        <w:t>-</w:t>
      </w:r>
      <w:r w:rsidR="0010099E" w:rsidRPr="58EC049B">
        <w:rPr>
          <w:rFonts w:ascii="Arial" w:hAnsi="Arial" w:cs="Arial"/>
          <w:b/>
          <w:bCs/>
          <w:color w:val="000000" w:themeColor="text1"/>
          <w:sz w:val="26"/>
          <w:szCs w:val="26"/>
        </w:rPr>
        <w:t>210</w:t>
      </w:r>
      <w:r w:rsidR="0010099E">
        <w:rPr>
          <w:rFonts w:ascii="Arial" w:hAnsi="Arial" w:cs="Arial"/>
          <w:b/>
          <w:bCs/>
          <w:color w:val="000000" w:themeColor="text1"/>
          <w:sz w:val="26"/>
          <w:szCs w:val="26"/>
        </w:rPr>
        <w:t>9639</w:t>
      </w:r>
    </w:p>
    <w:p w14:paraId="110EB4B6" w14:textId="05A4BBD3"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661EE4">
        <w:rPr>
          <w:rFonts w:ascii="Arial" w:hAnsi="Arial"/>
          <w:b/>
          <w:bCs/>
          <w:sz w:val="24"/>
          <w:szCs w:val="24"/>
          <w:lang w:eastAsia="zh-CN"/>
        </w:rPr>
        <w:t xml:space="preserve">Nov </w:t>
      </w:r>
      <w:r w:rsidR="00194E82">
        <w:rPr>
          <w:rFonts w:ascii="Arial" w:hAnsi="Arial"/>
          <w:b/>
          <w:bCs/>
          <w:sz w:val="24"/>
          <w:szCs w:val="24"/>
          <w:lang w:eastAsia="zh-CN"/>
        </w:rPr>
        <w:t>1</w:t>
      </w:r>
      <w:r w:rsidR="00194E82">
        <w:rPr>
          <w:rFonts w:ascii="Arial" w:hAnsi="Arial"/>
          <w:b/>
          <w:bCs/>
          <w:sz w:val="24"/>
          <w:szCs w:val="24"/>
          <w:vertAlign w:val="superscript"/>
          <w:lang w:eastAsia="zh-CN"/>
        </w:rPr>
        <w:t>st</w:t>
      </w:r>
      <w:r>
        <w:rPr>
          <w:rFonts w:ascii="Arial" w:hAnsi="Arial"/>
          <w:b/>
          <w:bCs/>
          <w:sz w:val="24"/>
          <w:szCs w:val="24"/>
          <w:lang w:eastAsia="zh-CN"/>
        </w:rPr>
        <w:t xml:space="preserve"> – </w:t>
      </w:r>
      <w:r w:rsidR="00194E82">
        <w:rPr>
          <w:rFonts w:ascii="Arial" w:hAnsi="Arial"/>
          <w:b/>
          <w:bCs/>
          <w:sz w:val="24"/>
          <w:szCs w:val="24"/>
          <w:lang w:eastAsia="zh-CN"/>
        </w:rPr>
        <w:t>Nov</w:t>
      </w:r>
      <w:r>
        <w:rPr>
          <w:rFonts w:ascii="Arial" w:hAnsi="Arial"/>
          <w:b/>
          <w:bCs/>
          <w:sz w:val="24"/>
          <w:szCs w:val="24"/>
          <w:lang w:eastAsia="zh-CN"/>
        </w:rPr>
        <w:t xml:space="preserve"> </w:t>
      </w:r>
      <w:r w:rsidR="00194E82">
        <w:rPr>
          <w:rFonts w:ascii="Arial" w:hAnsi="Arial"/>
          <w:b/>
          <w:bCs/>
          <w:sz w:val="24"/>
          <w:szCs w:val="24"/>
          <w:lang w:eastAsia="zh-CN"/>
        </w:rPr>
        <w:t>12</w:t>
      </w:r>
      <w:r>
        <w:rPr>
          <w:rFonts w:ascii="Arial" w:hAnsi="Arial"/>
          <w:b/>
          <w:bCs/>
          <w:sz w:val="24"/>
          <w:szCs w:val="24"/>
          <w:vertAlign w:val="superscript"/>
          <w:lang w:eastAsia="zh-CN"/>
        </w:rPr>
        <w:t>th</w:t>
      </w:r>
      <w:r w:rsidR="0063281F">
        <w:rPr>
          <w:rFonts w:ascii="Arial" w:hAnsi="Arial"/>
          <w:b/>
          <w:bCs/>
          <w:sz w:val="24"/>
          <w:szCs w:val="24"/>
          <w:lang w:eastAsia="zh-CN"/>
        </w:rPr>
        <w:t>, 2021</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25625A3"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w:t>
      </w:r>
      <w:r w:rsidR="00FE3BF8">
        <w:rPr>
          <w:rFonts w:ascii="Arial" w:eastAsia="MS Mincho" w:hAnsi="Arial" w:cs="Arial"/>
          <w:b/>
          <w:bCs/>
          <w:sz w:val="24"/>
          <w:szCs w:val="24"/>
        </w:rPr>
        <w:t>10.3.2</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68872483"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A207C9" w:rsidRPr="00A207C9">
        <w:rPr>
          <w:rFonts w:ascii="Arial" w:eastAsia="Times New Roman" w:hAnsi="Arial" w:cs="Arial"/>
          <w:b/>
          <w:bCs/>
          <w:sz w:val="24"/>
        </w:rPr>
        <w:t>TN prioritization over NTN for idle mode</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50803AC9"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 xml:space="preserve">2#115e meeting, </w:t>
      </w:r>
      <w:r w:rsidR="00304B3D">
        <w:rPr>
          <w:sz w:val="22"/>
          <w:szCs w:val="22"/>
        </w:rPr>
        <w:t xml:space="preserve">several agreements have been made </w:t>
      </w:r>
      <w:r w:rsidR="00A207C9" w:rsidRPr="00A207C9">
        <w:rPr>
          <w:sz w:val="22"/>
          <w:szCs w:val="22"/>
        </w:rPr>
        <w:t>with respect to TN-NTN mobility</w:t>
      </w:r>
      <w:r w:rsidR="00A207C9">
        <w:rPr>
          <w:sz w:val="22"/>
          <w:szCs w:val="22"/>
        </w:rPr>
        <w:t xml:space="preserve"> </w:t>
      </w:r>
      <w:r w:rsidR="00304B3D">
        <w:rPr>
          <w:sz w:val="22"/>
          <w:szCs w:val="22"/>
        </w:rPr>
        <w:t>as below:</w:t>
      </w:r>
    </w:p>
    <w:p w14:paraId="2F9E19FC" w14:textId="1AE8EACD" w:rsidR="00A207C9" w:rsidRDefault="00A207C9" w:rsidP="00A207C9">
      <w:pPr>
        <w:pStyle w:val="Doc-text2"/>
        <w:pBdr>
          <w:top w:val="single" w:sz="4" w:space="1" w:color="auto"/>
          <w:left w:val="single" w:sz="4" w:space="4" w:color="auto"/>
          <w:bottom w:val="single" w:sz="4" w:space="1" w:color="auto"/>
          <w:right w:val="single" w:sz="4" w:space="4" w:color="auto"/>
        </w:pBdr>
      </w:pPr>
      <w:r>
        <w:t>3.</w:t>
      </w:r>
      <w:r>
        <w:tab/>
        <w:t>RAN2 down priorities further enhancements for connected mode for Rel-17 for TN-NTN mobility</w:t>
      </w:r>
      <w:r>
        <w:tab/>
      </w:r>
    </w:p>
    <w:p w14:paraId="5F579516" w14:textId="19DC3989" w:rsidR="00A207C9" w:rsidRDefault="00A207C9" w:rsidP="00A207C9">
      <w:pPr>
        <w:pStyle w:val="Doc-text2"/>
        <w:pBdr>
          <w:top w:val="single" w:sz="4" w:space="1" w:color="auto"/>
          <w:left w:val="single" w:sz="4" w:space="4" w:color="auto"/>
          <w:bottom w:val="single" w:sz="4" w:space="1" w:color="auto"/>
          <w:right w:val="single" w:sz="4" w:space="4" w:color="auto"/>
        </w:pBdr>
      </w:pPr>
      <w:r>
        <w:t>4.</w:t>
      </w:r>
      <w:r>
        <w:tab/>
        <w:t xml:space="preserve">RAN2 continue discussing the exact solution for </w:t>
      </w:r>
      <w:bookmarkStart w:id="1" w:name="_Hlk85231687"/>
      <w:r>
        <w:t xml:space="preserve">TN </w:t>
      </w:r>
      <w:bookmarkStart w:id="2" w:name="_Hlk85226981"/>
      <w:r>
        <w:t xml:space="preserve">prioritization </w:t>
      </w:r>
      <w:bookmarkEnd w:id="2"/>
      <w:r>
        <w:t xml:space="preserve">over NTN </w:t>
      </w:r>
      <w:bookmarkEnd w:id="1"/>
      <w:r>
        <w:t>for idle mode</w:t>
      </w:r>
      <w:r>
        <w:tab/>
      </w:r>
    </w:p>
    <w:p w14:paraId="65D3BC98" w14:textId="778A0A83" w:rsidR="00304B3D" w:rsidRDefault="00304B3D" w:rsidP="006D630F">
      <w:pPr>
        <w:rPr>
          <w:sz w:val="22"/>
          <w:szCs w:val="22"/>
        </w:rPr>
      </w:pPr>
    </w:p>
    <w:p w14:paraId="2B01AEBD" w14:textId="55B6BA82" w:rsidR="00653A6B" w:rsidRPr="00E63E56" w:rsidRDefault="00A207C9" w:rsidP="00653A6B">
      <w:pPr>
        <w:rPr>
          <w:sz w:val="22"/>
          <w:szCs w:val="22"/>
          <w:lang w:val="en-US"/>
        </w:rPr>
      </w:pPr>
      <w:r>
        <w:rPr>
          <w:sz w:val="22"/>
          <w:szCs w:val="22"/>
        </w:rPr>
        <w:t xml:space="preserve">For connected mode, legacy handover and CHO enhancements agreed for intra-NTN can also be applied to </w:t>
      </w:r>
      <w:r w:rsidRPr="00A207C9">
        <w:rPr>
          <w:sz w:val="22"/>
          <w:szCs w:val="22"/>
        </w:rPr>
        <w:t>TN-NTN mobility</w:t>
      </w:r>
      <w:r>
        <w:rPr>
          <w:sz w:val="22"/>
          <w:szCs w:val="22"/>
        </w:rPr>
        <w:t xml:space="preserve">, so specific enhancements for connected mode </w:t>
      </w:r>
      <w:r w:rsidR="00852048">
        <w:rPr>
          <w:sz w:val="22"/>
          <w:szCs w:val="22"/>
        </w:rPr>
        <w:t xml:space="preserve">are </w:t>
      </w:r>
      <w:r>
        <w:rPr>
          <w:sz w:val="22"/>
          <w:szCs w:val="22"/>
        </w:rPr>
        <w:t xml:space="preserve">down prioritized. But for idle mode, </w:t>
      </w:r>
      <w:r w:rsidR="00C25520">
        <w:rPr>
          <w:sz w:val="22"/>
          <w:szCs w:val="22"/>
        </w:rPr>
        <w:t xml:space="preserve">the discussion point is still on whether UE can reuse </w:t>
      </w:r>
      <w:r w:rsidR="00C25520" w:rsidRPr="00C25520">
        <w:rPr>
          <w:sz w:val="22"/>
          <w:szCs w:val="22"/>
        </w:rPr>
        <w:t>legacy mechanism</w:t>
      </w:r>
      <w:r w:rsidR="00C25520">
        <w:rPr>
          <w:sz w:val="22"/>
          <w:szCs w:val="22"/>
        </w:rPr>
        <w:t xml:space="preserve"> to achieve</w:t>
      </w:r>
      <w:r w:rsidR="00C25520" w:rsidRPr="00C25520">
        <w:t xml:space="preserve"> </w:t>
      </w:r>
      <w:r w:rsidR="00C25520" w:rsidRPr="00C25520">
        <w:rPr>
          <w:sz w:val="22"/>
          <w:szCs w:val="22"/>
        </w:rPr>
        <w:t>TN prioritization over NTN</w:t>
      </w:r>
      <w:r w:rsidR="00C25520">
        <w:rPr>
          <w:sz w:val="22"/>
          <w:szCs w:val="22"/>
        </w:rPr>
        <w:t>.</w:t>
      </w:r>
      <w:r w:rsidR="00094334" w:rsidRPr="00B80F68">
        <w:rPr>
          <w:sz w:val="22"/>
          <w:szCs w:val="22"/>
        </w:rPr>
        <w:t xml:space="preserve"> </w:t>
      </w:r>
      <w:r w:rsidR="00E63E56" w:rsidRPr="00E63E56">
        <w:rPr>
          <w:sz w:val="22"/>
          <w:szCs w:val="22"/>
          <w:lang w:val="en-US"/>
        </w:rPr>
        <w:t xml:space="preserve">In this contribution, we further discuss </w:t>
      </w:r>
      <w:r w:rsidR="00C25520">
        <w:rPr>
          <w:sz w:val="22"/>
          <w:szCs w:val="22"/>
          <w:lang w:val="en-US"/>
        </w:rPr>
        <w:t>how to apply and enhance legacy mechanism for this purpose</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68DBABF4" w14:textId="77777777" w:rsidR="00A669D3" w:rsidRPr="002B0224" w:rsidRDefault="00A669D3" w:rsidP="00A669D3">
      <w:pPr>
        <w:pStyle w:val="ListParagraph"/>
        <w:numPr>
          <w:ilvl w:val="1"/>
          <w:numId w:val="2"/>
        </w:numPr>
        <w:rPr>
          <w:rFonts w:ascii="Arial" w:hAnsi="Arial"/>
          <w:sz w:val="28"/>
          <w:szCs w:val="16"/>
        </w:rPr>
      </w:pPr>
      <w:r w:rsidRPr="002B0224">
        <w:rPr>
          <w:rFonts w:ascii="Arial" w:hAnsi="Arial"/>
          <w:sz w:val="28"/>
          <w:szCs w:val="16"/>
        </w:rPr>
        <w:t>Inter-frequency deployment</w:t>
      </w:r>
    </w:p>
    <w:p w14:paraId="3D941673" w14:textId="1B54171B" w:rsidR="00D750DA" w:rsidRDefault="000E1C07" w:rsidP="00C32CE2">
      <w:pPr>
        <w:rPr>
          <w:sz w:val="22"/>
          <w:szCs w:val="22"/>
        </w:rPr>
      </w:pPr>
      <w:r>
        <w:rPr>
          <w:sz w:val="22"/>
          <w:szCs w:val="22"/>
        </w:rPr>
        <w:t xml:space="preserve">In the legacy cell reselection procedures, the main principle is based on frequency priority. </w:t>
      </w:r>
      <w:r w:rsidR="00D750DA">
        <w:rPr>
          <w:sz w:val="22"/>
          <w:szCs w:val="22"/>
        </w:rPr>
        <w:t xml:space="preserve">The field </w:t>
      </w:r>
      <w:r w:rsidR="00D750DA" w:rsidRPr="00D750DA">
        <w:rPr>
          <w:i/>
          <w:iCs/>
          <w:sz w:val="22"/>
          <w:szCs w:val="22"/>
        </w:rPr>
        <w:t>cellReselectionPriority</w:t>
      </w:r>
      <w:r w:rsidR="00D750DA" w:rsidRPr="00D750DA">
        <w:rPr>
          <w:sz w:val="22"/>
          <w:szCs w:val="22"/>
        </w:rPr>
        <w:t xml:space="preserve"> </w:t>
      </w:r>
      <w:r w:rsidR="00D750DA">
        <w:rPr>
          <w:sz w:val="22"/>
          <w:szCs w:val="22"/>
        </w:rPr>
        <w:t xml:space="preserve">and </w:t>
      </w:r>
      <w:r w:rsidR="00D750DA" w:rsidRPr="00D750DA">
        <w:rPr>
          <w:i/>
          <w:iCs/>
          <w:sz w:val="22"/>
          <w:szCs w:val="22"/>
        </w:rPr>
        <w:t>cellReselectionSubPriority</w:t>
      </w:r>
      <w:r w:rsidR="00D750DA" w:rsidRPr="00D750DA">
        <w:rPr>
          <w:sz w:val="22"/>
          <w:szCs w:val="22"/>
        </w:rPr>
        <w:t xml:space="preserve"> </w:t>
      </w:r>
      <w:r w:rsidR="00D750DA">
        <w:rPr>
          <w:sz w:val="22"/>
          <w:szCs w:val="22"/>
        </w:rPr>
        <w:t>are the</w:t>
      </w:r>
      <w:r w:rsidR="00D750DA" w:rsidRPr="00D750DA">
        <w:rPr>
          <w:sz w:val="22"/>
          <w:szCs w:val="22"/>
        </w:rPr>
        <w:t xml:space="preserve"> absolute priorit</w:t>
      </w:r>
      <w:r w:rsidR="00D750DA">
        <w:rPr>
          <w:sz w:val="22"/>
          <w:szCs w:val="22"/>
        </w:rPr>
        <w:t>ies</w:t>
      </w:r>
      <w:r w:rsidR="00D750DA" w:rsidRPr="00D750DA">
        <w:rPr>
          <w:sz w:val="22"/>
          <w:szCs w:val="22"/>
        </w:rPr>
        <w:t xml:space="preserve"> of the concerned carrier frequency</w:t>
      </w:r>
      <w:r w:rsidR="007B31E6">
        <w:rPr>
          <w:sz w:val="22"/>
          <w:szCs w:val="22"/>
        </w:rPr>
        <w:t>, i.e., serving frequency and each neighbour frequency can have the corresponding priority</w:t>
      </w:r>
      <w:r w:rsidR="00D750DA">
        <w:rPr>
          <w:sz w:val="22"/>
          <w:szCs w:val="22"/>
        </w:rPr>
        <w:t>.</w:t>
      </w:r>
    </w:p>
    <w:p w14:paraId="02E9BC63" w14:textId="6AD5FC52" w:rsidR="007B31E6" w:rsidRDefault="007B31E6" w:rsidP="00C32CE2">
      <w:pPr>
        <w:rPr>
          <w:sz w:val="22"/>
          <w:szCs w:val="22"/>
        </w:rPr>
      </w:pPr>
      <w:r>
        <w:rPr>
          <w:sz w:val="22"/>
          <w:szCs w:val="22"/>
        </w:rPr>
        <w:t>If TN and NTN are deployed with different frequencies, TN can be set with a high priority while NTN</w:t>
      </w:r>
      <w:r w:rsidR="00C415EC">
        <w:rPr>
          <w:sz w:val="22"/>
          <w:szCs w:val="22"/>
        </w:rPr>
        <w:t xml:space="preserve">’s frequency is with lower </w:t>
      </w:r>
      <w:r w:rsidR="00A669D3">
        <w:rPr>
          <w:sz w:val="22"/>
          <w:szCs w:val="22"/>
        </w:rPr>
        <w:t>priority</w:t>
      </w:r>
      <w:r w:rsidR="00C415EC">
        <w:rPr>
          <w:sz w:val="22"/>
          <w:szCs w:val="22"/>
        </w:rPr>
        <w:t xml:space="preserve">. When UE camps on NTN cell, according to the higher priority, UE shall perform neighbour cell measurements for TN frequency, and if TN cell’s quality is good enough, UE can quickly reselect to TN cell. And when UE camps on TN cell, UE only needs to perform </w:t>
      </w:r>
      <w:r w:rsidR="008D3777">
        <w:rPr>
          <w:sz w:val="22"/>
          <w:szCs w:val="22"/>
        </w:rPr>
        <w:t>neighbour cell measurements for NTN frequency if TN cell’s signal quality is lower than pre-configured threshold, and UE only reselects to NTN cell if</w:t>
      </w:r>
      <w:r w:rsidR="008D3777" w:rsidRPr="008D3777">
        <w:rPr>
          <w:sz w:val="22"/>
          <w:szCs w:val="22"/>
        </w:rPr>
        <w:t xml:space="preserve"> </w:t>
      </w:r>
      <w:r w:rsidR="008D3777">
        <w:rPr>
          <w:sz w:val="22"/>
          <w:szCs w:val="22"/>
        </w:rPr>
        <w:t>NTN cell’s signal quality is better than pre-configured threshold</w:t>
      </w:r>
      <w:r w:rsidR="00A669D3">
        <w:rPr>
          <w:sz w:val="22"/>
          <w:szCs w:val="22"/>
        </w:rPr>
        <w:t xml:space="preserve"> and TN cell’s signal quality is worse than pre-configured threshold</w:t>
      </w:r>
      <w:r w:rsidR="008D3777">
        <w:rPr>
          <w:sz w:val="22"/>
          <w:szCs w:val="22"/>
        </w:rPr>
        <w:t>.</w:t>
      </w:r>
    </w:p>
    <w:p w14:paraId="27FFED0B" w14:textId="29061301" w:rsidR="00634522" w:rsidRPr="00844F39" w:rsidRDefault="00844F39" w:rsidP="00C32CE2">
      <w:pPr>
        <w:rPr>
          <w:b/>
          <w:bCs/>
          <w:sz w:val="22"/>
          <w:szCs w:val="22"/>
        </w:rPr>
      </w:pPr>
      <w:r w:rsidRPr="00844F39">
        <w:rPr>
          <w:b/>
          <w:bCs/>
          <w:sz w:val="22"/>
          <w:szCs w:val="22"/>
        </w:rPr>
        <w:t>Observation 1: If TN and NTN are deployed with different frequencies, TN</w:t>
      </w:r>
      <w:r w:rsidR="00642206">
        <w:rPr>
          <w:b/>
          <w:bCs/>
          <w:sz w:val="22"/>
          <w:szCs w:val="22"/>
        </w:rPr>
        <w:t>’s frequency</w:t>
      </w:r>
      <w:r w:rsidRPr="00844F39">
        <w:rPr>
          <w:b/>
          <w:bCs/>
          <w:sz w:val="22"/>
          <w:szCs w:val="22"/>
        </w:rPr>
        <w:t xml:space="preserve"> can be set with a high priority while NTN’s frequency is with lower priority to achieve TN prioritization over NTN.</w:t>
      </w:r>
    </w:p>
    <w:p w14:paraId="0DB2EC62" w14:textId="6858AFB0" w:rsidR="00634522" w:rsidRDefault="00792369" w:rsidP="00C32CE2">
      <w:pPr>
        <w:rPr>
          <w:sz w:val="22"/>
          <w:szCs w:val="22"/>
        </w:rPr>
      </w:pPr>
      <w:r>
        <w:rPr>
          <w:sz w:val="22"/>
          <w:szCs w:val="22"/>
        </w:rPr>
        <w:t>In this inter-freq</w:t>
      </w:r>
      <w:r w:rsidR="00654E6E">
        <w:rPr>
          <w:sz w:val="22"/>
          <w:szCs w:val="22"/>
        </w:rPr>
        <w:t>uency</w:t>
      </w:r>
      <w:r>
        <w:rPr>
          <w:sz w:val="22"/>
          <w:szCs w:val="22"/>
        </w:rPr>
        <w:t xml:space="preserve"> case, there is still one issue to deal with, i.e., UE power consumption. As illustrated in Fig. 1, NTN cell has a much larger coverage than that of TN cell, and if UE1 is far way from TN area but configured with high priority TN frequency, UE’s action for measurements on neighbour TN cells is meaningless, especially when the deployment of TN is relatively sparse.</w:t>
      </w:r>
    </w:p>
    <w:p w14:paraId="762F2913" w14:textId="560C392D" w:rsidR="00792369" w:rsidRDefault="00792369" w:rsidP="00792369">
      <w:pPr>
        <w:jc w:val="center"/>
      </w:pPr>
      <w:r>
        <w:object w:dxaOrig="5676" w:dyaOrig="3061" w14:anchorId="6514F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153pt" o:ole="">
            <v:imagedata r:id="rId10" o:title=""/>
          </v:shape>
          <o:OLEObject Type="Embed" ProgID="Visio.Drawing.15" ShapeID="_x0000_i1025" DrawAspect="Content" ObjectID="_1696361807" r:id="rId11"/>
        </w:object>
      </w:r>
    </w:p>
    <w:p w14:paraId="2DFA4685" w14:textId="546F2C0C" w:rsidR="00792369" w:rsidRPr="00792369" w:rsidRDefault="00792369" w:rsidP="00792369">
      <w:pPr>
        <w:jc w:val="center"/>
        <w:rPr>
          <w:b/>
          <w:bCs/>
          <w:sz w:val="22"/>
          <w:szCs w:val="22"/>
        </w:rPr>
      </w:pPr>
      <w:r w:rsidRPr="00792369">
        <w:rPr>
          <w:b/>
          <w:bCs/>
        </w:rPr>
        <w:t>Fig. 1 TN cell and NTN cell overlap</w:t>
      </w:r>
    </w:p>
    <w:p w14:paraId="141BEB1F" w14:textId="77777777" w:rsidR="0065723E" w:rsidRDefault="0065723E" w:rsidP="00C32CE2">
      <w:pPr>
        <w:rPr>
          <w:sz w:val="22"/>
          <w:szCs w:val="22"/>
        </w:rPr>
      </w:pPr>
      <w:r>
        <w:rPr>
          <w:sz w:val="22"/>
          <w:szCs w:val="22"/>
        </w:rPr>
        <w:t>To address this issue, some measurement relaxation can be considered. There are two candidate solutions:</w:t>
      </w:r>
    </w:p>
    <w:p w14:paraId="3F4F7B11" w14:textId="04AD89B7" w:rsidR="0065723E" w:rsidRDefault="0065723E" w:rsidP="00C32CE2">
      <w:pPr>
        <w:rPr>
          <w:sz w:val="22"/>
          <w:szCs w:val="22"/>
        </w:rPr>
      </w:pPr>
      <w:r w:rsidRPr="0065723E">
        <w:rPr>
          <w:b/>
          <w:bCs/>
          <w:sz w:val="22"/>
          <w:szCs w:val="22"/>
        </w:rPr>
        <w:t>Option 1</w:t>
      </w:r>
      <w:r>
        <w:rPr>
          <w:sz w:val="22"/>
          <w:szCs w:val="22"/>
        </w:rPr>
        <w:t xml:space="preserve">: if high priority TN cell cannot be detected for a period of time, then UE applies relaxed measurements to high priority TN </w:t>
      </w:r>
      <w:r w:rsidR="00654E6E">
        <w:rPr>
          <w:sz w:val="22"/>
          <w:szCs w:val="22"/>
        </w:rPr>
        <w:t>frequency</w:t>
      </w:r>
      <w:r>
        <w:rPr>
          <w:sz w:val="22"/>
          <w:szCs w:val="22"/>
        </w:rPr>
        <w:t>. In this way, when TN cell is far from UE it can save UE power by lowering down the measurement frequency.</w:t>
      </w:r>
    </w:p>
    <w:p w14:paraId="2D6FB311" w14:textId="13CB2A69" w:rsidR="0065723E" w:rsidRDefault="0065723E" w:rsidP="00C32CE2">
      <w:pPr>
        <w:rPr>
          <w:sz w:val="22"/>
          <w:szCs w:val="22"/>
        </w:rPr>
      </w:pPr>
      <w:r w:rsidRPr="0065723E">
        <w:rPr>
          <w:b/>
          <w:bCs/>
          <w:sz w:val="22"/>
          <w:szCs w:val="22"/>
        </w:rPr>
        <w:t>Option 2</w:t>
      </w:r>
      <w:r>
        <w:rPr>
          <w:sz w:val="22"/>
          <w:szCs w:val="22"/>
        </w:rPr>
        <w:t>: network provides the coverage information of TN area to UE, e.g.</w:t>
      </w:r>
      <w:r w:rsidR="00654E6E">
        <w:rPr>
          <w:sz w:val="22"/>
          <w:szCs w:val="22"/>
        </w:rPr>
        <w:t>,</w:t>
      </w:r>
      <w:r>
        <w:rPr>
          <w:sz w:val="22"/>
          <w:szCs w:val="22"/>
        </w:rPr>
        <w:t xml:space="preserve"> area centre and radius, UE only starts measurements on TN frequencies when it is near</w:t>
      </w:r>
      <w:r w:rsidR="00654E6E">
        <w:rPr>
          <w:sz w:val="22"/>
          <w:szCs w:val="22"/>
        </w:rPr>
        <w:t xml:space="preserve"> or within</w:t>
      </w:r>
      <w:r>
        <w:rPr>
          <w:sz w:val="22"/>
          <w:szCs w:val="22"/>
        </w:rPr>
        <w:t xml:space="preserve"> TN area.</w:t>
      </w:r>
      <w:r w:rsidR="00EA38AE">
        <w:rPr>
          <w:sz w:val="22"/>
          <w:szCs w:val="22"/>
        </w:rPr>
        <w:t xml:space="preserve"> This means UE needs to perform measurements on TN frequencies based on the distance evaluation, so GNSS has to be enabled from time to time when UE is in idle mode, which</w:t>
      </w:r>
      <w:r w:rsidR="00654E6E">
        <w:rPr>
          <w:sz w:val="22"/>
          <w:szCs w:val="22"/>
        </w:rPr>
        <w:t xml:space="preserve"> also</w:t>
      </w:r>
      <w:r w:rsidR="00EA38AE">
        <w:rPr>
          <w:sz w:val="22"/>
          <w:szCs w:val="22"/>
        </w:rPr>
        <w:t xml:space="preserve"> introduces extra power consumption. Then trade-off has to be taken into account when this option is </w:t>
      </w:r>
      <w:r w:rsidR="00654E6E">
        <w:rPr>
          <w:sz w:val="22"/>
          <w:szCs w:val="22"/>
        </w:rPr>
        <w:t>adopted</w:t>
      </w:r>
      <w:r w:rsidR="00EA38AE">
        <w:rPr>
          <w:sz w:val="22"/>
          <w:szCs w:val="22"/>
        </w:rPr>
        <w:t>.</w:t>
      </w:r>
    </w:p>
    <w:p w14:paraId="38121D8E" w14:textId="7426B60A" w:rsidR="0065723E" w:rsidRPr="00EA38AE" w:rsidRDefault="0065723E" w:rsidP="00C32CE2">
      <w:pPr>
        <w:rPr>
          <w:b/>
          <w:bCs/>
          <w:sz w:val="22"/>
          <w:szCs w:val="22"/>
        </w:rPr>
      </w:pPr>
      <w:r w:rsidRPr="00EA38AE">
        <w:rPr>
          <w:b/>
          <w:bCs/>
          <w:sz w:val="22"/>
          <w:szCs w:val="22"/>
        </w:rPr>
        <w:t xml:space="preserve">Proposal 1: to avoid </w:t>
      </w:r>
      <w:r w:rsidR="00EA38AE" w:rsidRPr="00EA38AE">
        <w:rPr>
          <w:b/>
          <w:bCs/>
          <w:sz w:val="22"/>
          <w:szCs w:val="22"/>
        </w:rPr>
        <w:t>perform</w:t>
      </w:r>
      <w:r w:rsidR="00EA38AE">
        <w:rPr>
          <w:b/>
          <w:bCs/>
          <w:sz w:val="22"/>
          <w:szCs w:val="22"/>
        </w:rPr>
        <w:t>ing</w:t>
      </w:r>
      <w:r w:rsidR="00EA38AE" w:rsidRPr="00EA38AE">
        <w:rPr>
          <w:b/>
          <w:bCs/>
          <w:sz w:val="22"/>
          <w:szCs w:val="22"/>
        </w:rPr>
        <w:t xml:space="preserve"> unnecessary measurements on TN frequencies, e.g.</w:t>
      </w:r>
      <w:r w:rsidR="00654E6E">
        <w:rPr>
          <w:b/>
          <w:bCs/>
          <w:sz w:val="22"/>
          <w:szCs w:val="22"/>
        </w:rPr>
        <w:t>,</w:t>
      </w:r>
      <w:r w:rsidR="00EA38AE" w:rsidRPr="00EA38AE">
        <w:rPr>
          <w:b/>
          <w:bCs/>
          <w:sz w:val="22"/>
          <w:szCs w:val="22"/>
        </w:rPr>
        <w:t xml:space="preserve"> when UE is far away from TN area, RAN2 to consider the following two candidate solutions:</w:t>
      </w:r>
    </w:p>
    <w:p w14:paraId="2DC2F439" w14:textId="441CBE1E" w:rsidR="00EA38AE" w:rsidRPr="00EA38AE" w:rsidRDefault="00EA38AE" w:rsidP="00EA38AE">
      <w:pPr>
        <w:rPr>
          <w:b/>
          <w:bCs/>
          <w:sz w:val="22"/>
          <w:szCs w:val="22"/>
        </w:rPr>
      </w:pPr>
      <w:r w:rsidRPr="00EA38AE">
        <w:rPr>
          <w:b/>
          <w:bCs/>
          <w:sz w:val="22"/>
          <w:szCs w:val="22"/>
        </w:rPr>
        <w:t xml:space="preserve">Option 1: if high priority TN cell cannot be detected for a period of time, then UE applies relaxed measurements to high priority TN </w:t>
      </w:r>
      <w:r w:rsidR="00654E6E">
        <w:rPr>
          <w:b/>
          <w:bCs/>
          <w:sz w:val="22"/>
          <w:szCs w:val="22"/>
        </w:rPr>
        <w:t>frequency</w:t>
      </w:r>
      <w:r w:rsidRPr="00EA38AE">
        <w:rPr>
          <w:b/>
          <w:bCs/>
          <w:sz w:val="22"/>
          <w:szCs w:val="22"/>
        </w:rPr>
        <w:t xml:space="preserve">. </w:t>
      </w:r>
    </w:p>
    <w:p w14:paraId="2B1FEC73" w14:textId="77534197" w:rsidR="00EA38AE" w:rsidRPr="00EA38AE" w:rsidRDefault="00EA38AE" w:rsidP="00EA38AE">
      <w:pPr>
        <w:rPr>
          <w:b/>
          <w:bCs/>
          <w:sz w:val="22"/>
          <w:szCs w:val="22"/>
        </w:rPr>
      </w:pPr>
      <w:r w:rsidRPr="00EA38AE">
        <w:rPr>
          <w:b/>
          <w:bCs/>
          <w:sz w:val="22"/>
          <w:szCs w:val="22"/>
        </w:rPr>
        <w:t>Option 2: network provides the coverage information of TN area to UE, e.g.</w:t>
      </w:r>
      <w:r w:rsidR="00654E6E">
        <w:rPr>
          <w:b/>
          <w:bCs/>
          <w:sz w:val="22"/>
          <w:szCs w:val="22"/>
        </w:rPr>
        <w:t>,</w:t>
      </w:r>
      <w:r w:rsidRPr="00EA38AE">
        <w:rPr>
          <w:b/>
          <w:bCs/>
          <w:sz w:val="22"/>
          <w:szCs w:val="22"/>
        </w:rPr>
        <w:t xml:space="preserve"> area centre and radius, UE only starts measurements on TN frequencies when it is near </w:t>
      </w:r>
      <w:r w:rsidR="00654E6E">
        <w:rPr>
          <w:b/>
          <w:bCs/>
          <w:sz w:val="22"/>
          <w:szCs w:val="22"/>
        </w:rPr>
        <w:t xml:space="preserve">or within </w:t>
      </w:r>
      <w:r w:rsidRPr="00EA38AE">
        <w:rPr>
          <w:b/>
          <w:bCs/>
          <w:sz w:val="22"/>
          <w:szCs w:val="22"/>
        </w:rPr>
        <w:t>TN area.</w:t>
      </w:r>
    </w:p>
    <w:p w14:paraId="05D0B8A3" w14:textId="2D90415C" w:rsidR="00EA38AE" w:rsidRDefault="00EA38AE" w:rsidP="00C32CE2">
      <w:pPr>
        <w:rPr>
          <w:sz w:val="22"/>
          <w:szCs w:val="22"/>
        </w:rPr>
      </w:pPr>
    </w:p>
    <w:p w14:paraId="1228395F" w14:textId="6F1101A6" w:rsidR="002B0224" w:rsidRPr="002B0224" w:rsidRDefault="002B0224" w:rsidP="00C32CE2">
      <w:pPr>
        <w:pStyle w:val="ListParagraph"/>
        <w:numPr>
          <w:ilvl w:val="1"/>
          <w:numId w:val="2"/>
        </w:numPr>
        <w:rPr>
          <w:rFonts w:ascii="Arial" w:hAnsi="Arial"/>
          <w:sz w:val="28"/>
          <w:szCs w:val="16"/>
        </w:rPr>
      </w:pPr>
      <w:r w:rsidRPr="002B0224">
        <w:rPr>
          <w:rFonts w:ascii="Arial" w:hAnsi="Arial"/>
          <w:sz w:val="28"/>
          <w:szCs w:val="16"/>
        </w:rPr>
        <w:t>Intr</w:t>
      </w:r>
      <w:r>
        <w:rPr>
          <w:rFonts w:ascii="Arial" w:hAnsi="Arial"/>
          <w:sz w:val="28"/>
          <w:szCs w:val="16"/>
        </w:rPr>
        <w:t>a</w:t>
      </w:r>
      <w:r w:rsidRPr="002B0224">
        <w:rPr>
          <w:rFonts w:ascii="Arial" w:hAnsi="Arial"/>
          <w:sz w:val="28"/>
          <w:szCs w:val="16"/>
        </w:rPr>
        <w:t>-frequency deployment</w:t>
      </w:r>
    </w:p>
    <w:p w14:paraId="50BDC875" w14:textId="2DD7A6DA" w:rsidR="00E86E72" w:rsidRDefault="002B0224" w:rsidP="00C32CE2">
      <w:pPr>
        <w:rPr>
          <w:sz w:val="22"/>
          <w:szCs w:val="22"/>
        </w:rPr>
      </w:pPr>
      <w:r>
        <w:rPr>
          <w:sz w:val="22"/>
          <w:szCs w:val="22"/>
        </w:rPr>
        <w:t>If TN and NTN are deployed with same frequency,</w:t>
      </w:r>
      <w:r w:rsidR="00BA079E">
        <w:rPr>
          <w:sz w:val="22"/>
          <w:szCs w:val="22"/>
        </w:rPr>
        <w:t xml:space="preserve"> </w:t>
      </w:r>
      <w:r w:rsidR="000032A7">
        <w:rPr>
          <w:sz w:val="22"/>
          <w:szCs w:val="22"/>
        </w:rPr>
        <w:t xml:space="preserve">the impact on </w:t>
      </w:r>
      <w:r w:rsidR="00BA079E">
        <w:rPr>
          <w:sz w:val="22"/>
          <w:szCs w:val="22"/>
        </w:rPr>
        <w:t xml:space="preserve">the measurement rule and reselection criteria </w:t>
      </w:r>
      <w:r w:rsidR="000032A7">
        <w:rPr>
          <w:sz w:val="22"/>
          <w:szCs w:val="22"/>
        </w:rPr>
        <w:t>can</w:t>
      </w:r>
      <w:r w:rsidR="00BA079E">
        <w:rPr>
          <w:sz w:val="22"/>
          <w:szCs w:val="22"/>
        </w:rPr>
        <w:t xml:space="preserve"> be considered.</w:t>
      </w:r>
      <w:r w:rsidR="00E86E72">
        <w:rPr>
          <w:sz w:val="22"/>
          <w:szCs w:val="22"/>
        </w:rPr>
        <w:t xml:space="preserve"> Regarding reselection criteria, current R-Criteria is as follows:</w:t>
      </w:r>
    </w:p>
    <w:tbl>
      <w:tblPr>
        <w:tblStyle w:val="TableGrid"/>
        <w:tblW w:w="0" w:type="auto"/>
        <w:tblLook w:val="04A0" w:firstRow="1" w:lastRow="0" w:firstColumn="1" w:lastColumn="0" w:noHBand="0" w:noVBand="1"/>
      </w:tblPr>
      <w:tblGrid>
        <w:gridCol w:w="9350"/>
      </w:tblGrid>
      <w:tr w:rsidR="00E86E72" w14:paraId="2879498F" w14:textId="77777777" w:rsidTr="00E86E72">
        <w:tc>
          <w:tcPr>
            <w:tcW w:w="9350" w:type="dxa"/>
          </w:tcPr>
          <w:p w14:paraId="5007AB38" w14:textId="77777777" w:rsidR="00E86E72" w:rsidRPr="00AA3051" w:rsidRDefault="00E86E72" w:rsidP="00E86E72">
            <w:r w:rsidRPr="00AA3051">
              <w:t>The cell-ranking criterion R</w:t>
            </w:r>
            <w:r w:rsidRPr="00AA3051">
              <w:rPr>
                <w:vertAlign w:val="subscript"/>
              </w:rPr>
              <w:t>s</w:t>
            </w:r>
            <w:r w:rsidRPr="00AA3051">
              <w:t xml:space="preserve"> for serving cell and R</w:t>
            </w:r>
            <w:r w:rsidRPr="00AA3051">
              <w:rPr>
                <w:vertAlign w:val="subscript"/>
              </w:rPr>
              <w:t>n</w:t>
            </w:r>
            <w:r w:rsidRPr="00AA3051">
              <w:t xml:space="preserve"> for neighbouring cells is defined by:</w:t>
            </w:r>
          </w:p>
          <w:tbl>
            <w:tblPr>
              <w:tblW w:w="0" w:type="auto"/>
              <w:tblInd w:w="108" w:type="dxa"/>
              <w:tblLook w:val="01E0" w:firstRow="1" w:lastRow="1" w:firstColumn="1" w:lastColumn="1" w:noHBand="0" w:noVBand="0"/>
            </w:tblPr>
            <w:tblGrid>
              <w:gridCol w:w="6204"/>
            </w:tblGrid>
            <w:tr w:rsidR="00E86E72" w:rsidRPr="00AA3051" w14:paraId="7B43B0B4" w14:textId="77777777" w:rsidTr="0047798E">
              <w:trPr>
                <w:trHeight w:val="927"/>
              </w:trPr>
              <w:tc>
                <w:tcPr>
                  <w:tcW w:w="6204" w:type="dxa"/>
                  <w:shd w:val="clear" w:color="auto" w:fill="auto"/>
                  <w:vAlign w:val="center"/>
                </w:tcPr>
                <w:p w14:paraId="51406CFE" w14:textId="77777777" w:rsidR="00E86E72" w:rsidRPr="00AA3051" w:rsidRDefault="00E86E72" w:rsidP="00E86E72">
                  <w:pPr>
                    <w:pStyle w:val="EQ"/>
                  </w:pPr>
                  <w:r w:rsidRPr="00AA3051">
                    <w:t>R</w:t>
                  </w:r>
                  <w:r w:rsidRPr="00AA3051">
                    <w:rPr>
                      <w:vertAlign w:val="subscript"/>
                    </w:rPr>
                    <w:t>s</w:t>
                  </w:r>
                  <w:r w:rsidRPr="00AA3051">
                    <w:t xml:space="preserve"> = Q</w:t>
                  </w:r>
                  <w:r w:rsidRPr="00AA3051">
                    <w:rPr>
                      <w:vertAlign w:val="subscript"/>
                    </w:rPr>
                    <w:t>meas,s</w:t>
                  </w:r>
                  <w:r w:rsidRPr="00AA3051">
                    <w:t xml:space="preserve"> +Q</w:t>
                  </w:r>
                  <w:r w:rsidRPr="00AA3051">
                    <w:rPr>
                      <w:vertAlign w:val="subscript"/>
                    </w:rPr>
                    <w:t>hyst</w:t>
                  </w:r>
                  <w:r w:rsidRPr="00AA3051">
                    <w:t xml:space="preserve"> </w:t>
                  </w:r>
                  <w:r w:rsidRPr="00AA3051">
                    <w:rPr>
                      <w:lang w:eastAsia="zh-CN"/>
                    </w:rPr>
                    <w:t>-</w:t>
                  </w:r>
                  <w:r w:rsidRPr="00AA3051">
                    <w:t xml:space="preserve"> Qoffset</w:t>
                  </w:r>
                  <w:r w:rsidRPr="00AA3051">
                    <w:rPr>
                      <w:vertAlign w:val="subscript"/>
                    </w:rPr>
                    <w:t>temp</w:t>
                  </w:r>
                </w:p>
                <w:p w14:paraId="2FA22A76" w14:textId="77777777" w:rsidR="00E86E72" w:rsidRPr="00AA3051" w:rsidRDefault="00E86E72" w:rsidP="00E86E72">
                  <w:pPr>
                    <w:pStyle w:val="EQ"/>
                  </w:pPr>
                  <w:r w:rsidRPr="00AA3051">
                    <w:t>R</w:t>
                  </w:r>
                  <w:r w:rsidRPr="00AA3051">
                    <w:rPr>
                      <w:vertAlign w:val="subscript"/>
                    </w:rPr>
                    <w:t>n</w:t>
                  </w:r>
                  <w:r w:rsidRPr="00AA3051">
                    <w:t xml:space="preserve"> = Q</w:t>
                  </w:r>
                  <w:r w:rsidRPr="00AA3051">
                    <w:rPr>
                      <w:vertAlign w:val="subscript"/>
                    </w:rPr>
                    <w:t>meas,n</w:t>
                  </w:r>
                  <w:r w:rsidRPr="00AA3051">
                    <w:t xml:space="preserve"> -Qoffset </w:t>
                  </w:r>
                  <w:r w:rsidRPr="00AA3051">
                    <w:rPr>
                      <w:lang w:eastAsia="zh-CN"/>
                    </w:rPr>
                    <w:t>-</w:t>
                  </w:r>
                  <w:r w:rsidRPr="00AA3051">
                    <w:t xml:space="preserve"> Qoffset</w:t>
                  </w:r>
                  <w:r w:rsidRPr="00AA3051">
                    <w:rPr>
                      <w:vertAlign w:val="subscript"/>
                    </w:rPr>
                    <w:t>temp</w:t>
                  </w:r>
                </w:p>
              </w:tc>
            </w:tr>
          </w:tbl>
          <w:p w14:paraId="6EDEE04D" w14:textId="77777777" w:rsidR="00E86E72" w:rsidRPr="00AA3051" w:rsidRDefault="00E86E72" w:rsidP="00E86E72">
            <w:r w:rsidRPr="00AA305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387"/>
            </w:tblGrid>
            <w:tr w:rsidR="00E86E72" w:rsidRPr="00AA3051" w14:paraId="24A0FC44" w14:textId="77777777" w:rsidTr="0047798E">
              <w:tc>
                <w:tcPr>
                  <w:tcW w:w="1276" w:type="dxa"/>
                </w:tcPr>
                <w:p w14:paraId="774FCE00" w14:textId="77777777" w:rsidR="00E86E72" w:rsidRPr="00AA3051" w:rsidRDefault="00E86E72" w:rsidP="00E86E72">
                  <w:pPr>
                    <w:pStyle w:val="TAL"/>
                    <w:rPr>
                      <w:lang w:eastAsia="en-US"/>
                    </w:rPr>
                  </w:pPr>
                  <w:r w:rsidRPr="00AA3051">
                    <w:rPr>
                      <w:lang w:eastAsia="en-US"/>
                    </w:rPr>
                    <w:t>Q</w:t>
                  </w:r>
                  <w:r w:rsidRPr="00AA3051">
                    <w:rPr>
                      <w:vertAlign w:val="subscript"/>
                      <w:lang w:eastAsia="en-US"/>
                    </w:rPr>
                    <w:t>meas</w:t>
                  </w:r>
                </w:p>
              </w:tc>
              <w:tc>
                <w:tcPr>
                  <w:tcW w:w="5387" w:type="dxa"/>
                </w:tcPr>
                <w:p w14:paraId="4B9EC2B8" w14:textId="77777777" w:rsidR="00E86E72" w:rsidRPr="00AA3051" w:rsidRDefault="00E86E72" w:rsidP="00E86E72">
                  <w:pPr>
                    <w:pStyle w:val="TAL"/>
                  </w:pPr>
                  <w:r w:rsidRPr="00AA3051">
                    <w:rPr>
                      <w:lang w:eastAsia="en-US"/>
                    </w:rPr>
                    <w:t>RSRP measurement quantity used in cell reselections.</w:t>
                  </w:r>
                </w:p>
              </w:tc>
            </w:tr>
            <w:tr w:rsidR="00E86E72" w:rsidRPr="00AA3051" w14:paraId="4ED356D7" w14:textId="77777777" w:rsidTr="0047798E">
              <w:tc>
                <w:tcPr>
                  <w:tcW w:w="1276" w:type="dxa"/>
                </w:tcPr>
                <w:p w14:paraId="4EFA7400" w14:textId="77777777" w:rsidR="00E86E72" w:rsidRPr="00AA3051" w:rsidRDefault="00E86E72" w:rsidP="00E86E72">
                  <w:pPr>
                    <w:pStyle w:val="TAL"/>
                    <w:rPr>
                      <w:lang w:eastAsia="en-US"/>
                    </w:rPr>
                  </w:pPr>
                  <w:r w:rsidRPr="00AA3051">
                    <w:rPr>
                      <w:lang w:eastAsia="en-US"/>
                    </w:rPr>
                    <w:lastRenderedPageBreak/>
                    <w:t>Qoffset</w:t>
                  </w:r>
                </w:p>
              </w:tc>
              <w:tc>
                <w:tcPr>
                  <w:tcW w:w="5387" w:type="dxa"/>
                </w:tcPr>
                <w:p w14:paraId="7940FFC9" w14:textId="77777777" w:rsidR="00E86E72" w:rsidRPr="00AA3051" w:rsidRDefault="00E86E72" w:rsidP="00E86E72">
                  <w:pPr>
                    <w:pStyle w:val="TAL"/>
                    <w:rPr>
                      <w:lang w:eastAsia="zh-CN"/>
                    </w:rPr>
                  </w:pPr>
                  <w:r w:rsidRPr="00AA3051">
                    <w:rPr>
                      <w:lang w:eastAsia="zh-CN"/>
                    </w:rPr>
                    <w:t>For intra-frequency: Equals to Qoffset</w:t>
                  </w:r>
                  <w:r w:rsidRPr="00AA3051">
                    <w:rPr>
                      <w:vertAlign w:val="subscript"/>
                      <w:lang w:eastAsia="en-US"/>
                    </w:rPr>
                    <w:t>s,n</w:t>
                  </w:r>
                  <w:r w:rsidRPr="00AA3051">
                    <w:rPr>
                      <w:lang w:eastAsia="zh-CN"/>
                    </w:rPr>
                    <w:t>, if Qoffset</w:t>
                  </w:r>
                  <w:r w:rsidRPr="00AA3051">
                    <w:rPr>
                      <w:vertAlign w:val="subscript"/>
                      <w:lang w:eastAsia="en-US"/>
                    </w:rPr>
                    <w:t>s,n</w:t>
                  </w:r>
                  <w:r w:rsidRPr="00AA3051">
                    <w:rPr>
                      <w:lang w:eastAsia="zh-CN"/>
                    </w:rPr>
                    <w:t xml:space="preserve"> is valid, otherwise this equals to zero.</w:t>
                  </w:r>
                </w:p>
                <w:p w14:paraId="4DA1AF6A" w14:textId="77777777" w:rsidR="00E86E72" w:rsidRPr="00AA3051" w:rsidRDefault="00E86E72" w:rsidP="00E86E72">
                  <w:pPr>
                    <w:pStyle w:val="TAL"/>
                    <w:rPr>
                      <w:lang w:eastAsia="zh-CN"/>
                    </w:rPr>
                  </w:pPr>
                  <w:r w:rsidRPr="00AA3051">
                    <w:rPr>
                      <w:lang w:eastAsia="zh-CN"/>
                    </w:rPr>
                    <w:t>For inter-frequency: E</w:t>
                  </w:r>
                  <w:r w:rsidRPr="00AA3051">
                    <w:rPr>
                      <w:lang w:eastAsia="en-US"/>
                    </w:rPr>
                    <w:t>quals to Qoffset</w:t>
                  </w:r>
                  <w:r w:rsidRPr="00AA3051">
                    <w:rPr>
                      <w:vertAlign w:val="subscript"/>
                      <w:lang w:eastAsia="en-US"/>
                    </w:rPr>
                    <w:t>s,n</w:t>
                  </w:r>
                  <w:r w:rsidRPr="00AA3051">
                    <w:rPr>
                      <w:lang w:eastAsia="en-US"/>
                    </w:rPr>
                    <w:t xml:space="preserve"> </w:t>
                  </w:r>
                  <w:r w:rsidRPr="00AA3051">
                    <w:rPr>
                      <w:lang w:eastAsia="zh-CN"/>
                    </w:rPr>
                    <w:t>plus</w:t>
                  </w:r>
                  <w:r w:rsidRPr="00AA3051">
                    <w:rPr>
                      <w:lang w:eastAsia="en-US"/>
                    </w:rPr>
                    <w:t xml:space="preserve"> Qoffset</w:t>
                  </w:r>
                  <w:r w:rsidRPr="00AA3051">
                    <w:rPr>
                      <w:vertAlign w:val="subscript"/>
                      <w:lang w:eastAsia="en-US"/>
                    </w:rPr>
                    <w:t>frequency</w:t>
                  </w:r>
                  <w:r w:rsidRPr="00AA3051">
                    <w:rPr>
                      <w:lang w:eastAsia="en-US"/>
                    </w:rPr>
                    <w:t>, if Qoffset</w:t>
                  </w:r>
                  <w:r w:rsidRPr="00AA3051">
                    <w:rPr>
                      <w:vertAlign w:val="subscript"/>
                      <w:lang w:eastAsia="en-US"/>
                    </w:rPr>
                    <w:t>s,n</w:t>
                  </w:r>
                  <w:r w:rsidRPr="00AA3051">
                    <w:rPr>
                      <w:lang w:eastAsia="en-US"/>
                    </w:rPr>
                    <w:t xml:space="preserve"> is valid</w:t>
                  </w:r>
                  <w:r w:rsidRPr="00AA3051">
                    <w:rPr>
                      <w:lang w:eastAsia="zh-CN"/>
                    </w:rPr>
                    <w:t>,</w:t>
                  </w:r>
                  <w:r w:rsidRPr="00AA3051">
                    <w:rPr>
                      <w:lang w:eastAsia="en-US"/>
                    </w:rPr>
                    <w:t xml:space="preserve"> otherwise this equals to Qoffset</w:t>
                  </w:r>
                  <w:r w:rsidRPr="00AA3051">
                    <w:rPr>
                      <w:vertAlign w:val="subscript"/>
                      <w:lang w:eastAsia="en-US"/>
                    </w:rPr>
                    <w:t>frequency</w:t>
                  </w:r>
                  <w:r w:rsidRPr="00AA3051">
                    <w:rPr>
                      <w:lang w:eastAsia="zh-CN"/>
                    </w:rPr>
                    <w:t>.</w:t>
                  </w:r>
                </w:p>
              </w:tc>
            </w:tr>
            <w:tr w:rsidR="00E86E72" w:rsidRPr="00AA3051" w14:paraId="5275A49D" w14:textId="77777777" w:rsidTr="0047798E">
              <w:tc>
                <w:tcPr>
                  <w:tcW w:w="1276" w:type="dxa"/>
                  <w:tcBorders>
                    <w:top w:val="single" w:sz="4" w:space="0" w:color="auto"/>
                    <w:left w:val="single" w:sz="4" w:space="0" w:color="auto"/>
                    <w:bottom w:val="single" w:sz="4" w:space="0" w:color="auto"/>
                    <w:right w:val="single" w:sz="4" w:space="0" w:color="auto"/>
                  </w:tcBorders>
                </w:tcPr>
                <w:p w14:paraId="1CB74E13" w14:textId="77777777" w:rsidR="00E86E72" w:rsidRPr="00AA3051" w:rsidRDefault="00E86E72" w:rsidP="00E86E72">
                  <w:pPr>
                    <w:pStyle w:val="TAL"/>
                    <w:rPr>
                      <w:lang w:eastAsia="en-US"/>
                    </w:rPr>
                  </w:pPr>
                  <w:r w:rsidRPr="00AA3051">
                    <w:rPr>
                      <w:lang w:eastAsia="en-US"/>
                    </w:rPr>
                    <w:t>Qoffset</w:t>
                  </w:r>
                  <w:r w:rsidRPr="00AA3051">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3F3AEBD2" w14:textId="77777777" w:rsidR="00E86E72" w:rsidRPr="00AA3051" w:rsidRDefault="00E86E72" w:rsidP="00E86E72">
                  <w:pPr>
                    <w:pStyle w:val="TAL"/>
                    <w:rPr>
                      <w:lang w:eastAsia="zh-CN"/>
                    </w:rPr>
                  </w:pPr>
                  <w:r w:rsidRPr="00AA3051">
                    <w:rPr>
                      <w:lang w:eastAsia="zh-CN"/>
                    </w:rPr>
                    <w:t xml:space="preserve">Offset temporarily applied to a cell as specified in </w:t>
                  </w:r>
                  <w:r w:rsidRPr="00AA3051">
                    <w:t xml:space="preserve">TS 38.331 </w:t>
                  </w:r>
                  <w:r w:rsidRPr="00AA3051">
                    <w:rPr>
                      <w:lang w:eastAsia="zh-CN"/>
                    </w:rPr>
                    <w:t>[3].</w:t>
                  </w:r>
                </w:p>
              </w:tc>
            </w:tr>
          </w:tbl>
          <w:p w14:paraId="3D66B6A2" w14:textId="77777777" w:rsidR="00E86E72" w:rsidRDefault="00E86E72" w:rsidP="00C32CE2">
            <w:pPr>
              <w:rPr>
                <w:sz w:val="22"/>
                <w:szCs w:val="22"/>
              </w:rPr>
            </w:pPr>
          </w:p>
        </w:tc>
      </w:tr>
    </w:tbl>
    <w:p w14:paraId="31316574" w14:textId="77777777" w:rsidR="00E86E72" w:rsidRDefault="00E86E72" w:rsidP="00C32CE2">
      <w:pPr>
        <w:rPr>
          <w:sz w:val="22"/>
          <w:szCs w:val="22"/>
        </w:rPr>
      </w:pPr>
    </w:p>
    <w:p w14:paraId="46176AF7" w14:textId="4DC5E242" w:rsidR="00E86E72" w:rsidRPr="00642206" w:rsidRDefault="002B0224" w:rsidP="00C32CE2">
      <w:pPr>
        <w:rPr>
          <w:sz w:val="22"/>
          <w:szCs w:val="22"/>
        </w:rPr>
      </w:pPr>
      <w:r>
        <w:rPr>
          <w:sz w:val="22"/>
          <w:szCs w:val="22"/>
        </w:rPr>
        <w:t xml:space="preserve"> </w:t>
      </w:r>
      <w:r w:rsidR="00E86E72" w:rsidRPr="00642206">
        <w:rPr>
          <w:sz w:val="22"/>
          <w:szCs w:val="22"/>
        </w:rPr>
        <w:t>Qoffset</w:t>
      </w:r>
      <w:r w:rsidR="00E86E72" w:rsidRPr="00642206">
        <w:rPr>
          <w:sz w:val="22"/>
          <w:szCs w:val="22"/>
          <w:vertAlign w:val="subscript"/>
        </w:rPr>
        <w:t>temp</w:t>
      </w:r>
      <w:r w:rsidR="00E86E72" w:rsidRPr="00642206">
        <w:rPr>
          <w:sz w:val="22"/>
          <w:szCs w:val="22"/>
        </w:rPr>
        <w:t xml:space="preserve"> is applied only when </w:t>
      </w:r>
      <w:r w:rsidR="00E86E72" w:rsidRPr="00642206">
        <w:rPr>
          <w:sz w:val="22"/>
          <w:szCs w:val="22"/>
          <w:lang w:eastAsia="x-none"/>
        </w:rPr>
        <w:t xml:space="preserve">UE supports </w:t>
      </w:r>
      <w:r w:rsidR="00654E6E" w:rsidRPr="00642206">
        <w:rPr>
          <w:sz w:val="22"/>
          <w:szCs w:val="22"/>
          <w:lang w:eastAsia="x-none"/>
        </w:rPr>
        <w:t>“</w:t>
      </w:r>
      <w:r w:rsidR="00E86E72" w:rsidRPr="00642206">
        <w:rPr>
          <w:sz w:val="22"/>
          <w:szCs w:val="22"/>
          <w:lang w:eastAsia="x-none"/>
        </w:rPr>
        <w:t xml:space="preserve">RRC Connection Establishment failure with temporary offset and </w:t>
      </w:r>
      <w:r w:rsidR="00E86E72" w:rsidRPr="00642206">
        <w:rPr>
          <w:sz w:val="22"/>
          <w:szCs w:val="22"/>
        </w:rPr>
        <w:t xml:space="preserve">the T300 has expired a consecutive </w:t>
      </w:r>
      <w:r w:rsidR="00E86E72" w:rsidRPr="00642206">
        <w:rPr>
          <w:i/>
          <w:sz w:val="22"/>
          <w:szCs w:val="22"/>
        </w:rPr>
        <w:t>connEstFailCount</w:t>
      </w:r>
      <w:r w:rsidR="00E86E72" w:rsidRPr="00642206">
        <w:rPr>
          <w:sz w:val="22"/>
          <w:szCs w:val="22"/>
        </w:rPr>
        <w:t xml:space="preserve"> times on the same cell</w:t>
      </w:r>
      <w:r w:rsidR="00654E6E" w:rsidRPr="00642206">
        <w:rPr>
          <w:sz w:val="22"/>
          <w:szCs w:val="22"/>
        </w:rPr>
        <w:t>”</w:t>
      </w:r>
      <w:r w:rsidR="00E86E72" w:rsidRPr="00642206">
        <w:rPr>
          <w:sz w:val="22"/>
          <w:szCs w:val="22"/>
        </w:rPr>
        <w:t>, so it’s not for normal cases. But Qoffset can be configured per cell, it means network can set appropriate values for TN cell and NTN cell separately.</w:t>
      </w:r>
    </w:p>
    <w:p w14:paraId="2671CCCC" w14:textId="7E0C2D70" w:rsidR="00E86E72" w:rsidRPr="00642206" w:rsidRDefault="00E86E72" w:rsidP="00C32CE2">
      <w:pPr>
        <w:rPr>
          <w:sz w:val="22"/>
          <w:szCs w:val="22"/>
        </w:rPr>
      </w:pPr>
      <w:r w:rsidRPr="00642206">
        <w:rPr>
          <w:sz w:val="22"/>
          <w:szCs w:val="22"/>
        </w:rPr>
        <w:t>According to TS 38.331, the value range of Qoffset is as below:</w:t>
      </w:r>
    </w:p>
    <w:tbl>
      <w:tblPr>
        <w:tblStyle w:val="TableGrid"/>
        <w:tblW w:w="0" w:type="auto"/>
        <w:tblLook w:val="04A0" w:firstRow="1" w:lastRow="0" w:firstColumn="1" w:lastColumn="0" w:noHBand="0" w:noVBand="1"/>
      </w:tblPr>
      <w:tblGrid>
        <w:gridCol w:w="9350"/>
      </w:tblGrid>
      <w:tr w:rsidR="00E86E72" w14:paraId="675529B1" w14:textId="77777777" w:rsidTr="00E86E72">
        <w:tc>
          <w:tcPr>
            <w:tcW w:w="9350" w:type="dxa"/>
          </w:tcPr>
          <w:p w14:paraId="492D5DF1" w14:textId="77777777" w:rsidR="00E86E72" w:rsidRPr="006F115B" w:rsidRDefault="00E86E72" w:rsidP="00E86E72">
            <w:pPr>
              <w:pStyle w:val="PL"/>
            </w:pPr>
            <w:r w:rsidRPr="006F115B">
              <w:t xml:space="preserve">Q-OffsetRange ::=                   </w:t>
            </w:r>
            <w:r w:rsidRPr="006F115B">
              <w:rPr>
                <w:color w:val="993366"/>
              </w:rPr>
              <w:t>ENUMERATED</w:t>
            </w:r>
            <w:r w:rsidRPr="006F115B">
              <w:t xml:space="preserve"> {</w:t>
            </w:r>
          </w:p>
          <w:p w14:paraId="6C79BCF1" w14:textId="77777777" w:rsidR="00E86E72" w:rsidRPr="006F115B" w:rsidRDefault="00E86E72" w:rsidP="00E86E72">
            <w:pPr>
              <w:pStyle w:val="PL"/>
            </w:pPr>
            <w:r w:rsidRPr="006F115B">
              <w:t xml:space="preserve">                                                dB-24, dB-22, dB-20, dB-18, dB-16, dB-14,</w:t>
            </w:r>
          </w:p>
          <w:p w14:paraId="155253F4" w14:textId="77777777" w:rsidR="00E86E72" w:rsidRPr="006F115B" w:rsidRDefault="00E86E72" w:rsidP="00E86E72">
            <w:pPr>
              <w:pStyle w:val="PL"/>
            </w:pPr>
            <w:r w:rsidRPr="006F115B">
              <w:t xml:space="preserve">                                                dB-12, dB-10, dB-8, dB-6, dB-5, dB-4, dB-3,</w:t>
            </w:r>
          </w:p>
          <w:p w14:paraId="126B686C" w14:textId="77777777" w:rsidR="00E86E72" w:rsidRPr="006F115B" w:rsidRDefault="00E86E72" w:rsidP="00E86E72">
            <w:pPr>
              <w:pStyle w:val="PL"/>
            </w:pPr>
            <w:r w:rsidRPr="006F115B">
              <w:t xml:space="preserve">                                                dB-2, dB-1, dB0, dB1, dB2, dB3, dB4, dB5,</w:t>
            </w:r>
          </w:p>
          <w:p w14:paraId="3D91B43A" w14:textId="77777777" w:rsidR="00E86E72" w:rsidRPr="006F115B" w:rsidRDefault="00E86E72" w:rsidP="00E86E72">
            <w:pPr>
              <w:pStyle w:val="PL"/>
            </w:pPr>
            <w:r w:rsidRPr="006F115B">
              <w:t xml:space="preserve">                                                dB6, dB8, dB10, dB12, dB14, dB16, dB18,</w:t>
            </w:r>
          </w:p>
          <w:p w14:paraId="3AD3B861" w14:textId="58F47BE3" w:rsidR="00E86E72" w:rsidRPr="00E86E72" w:rsidRDefault="00E86E72" w:rsidP="00E86E72">
            <w:pPr>
              <w:pStyle w:val="PL"/>
            </w:pPr>
            <w:r w:rsidRPr="006F115B">
              <w:t xml:space="preserve">                                                dB20, dB22, dB24}</w:t>
            </w:r>
          </w:p>
        </w:tc>
      </w:tr>
    </w:tbl>
    <w:p w14:paraId="34383034" w14:textId="49625B52" w:rsidR="00E86E72" w:rsidRDefault="00E86E72" w:rsidP="00C32CE2">
      <w:pPr>
        <w:rPr>
          <w:sz w:val="22"/>
          <w:szCs w:val="22"/>
        </w:rPr>
      </w:pPr>
    </w:p>
    <w:p w14:paraId="5D563FE4" w14:textId="3B85D5CB" w:rsidR="00E86E72" w:rsidRPr="00642206" w:rsidRDefault="00E86E72" w:rsidP="00C32CE2">
      <w:pPr>
        <w:rPr>
          <w:sz w:val="22"/>
          <w:szCs w:val="22"/>
        </w:rPr>
      </w:pPr>
      <w:r w:rsidRPr="00642206">
        <w:rPr>
          <w:sz w:val="22"/>
          <w:szCs w:val="22"/>
        </w:rPr>
        <w:t>When UE camps on TN cell, network can set positive value for NTN Qoffset, then R</w:t>
      </w:r>
      <w:r w:rsidRPr="00642206">
        <w:rPr>
          <w:sz w:val="22"/>
          <w:szCs w:val="22"/>
          <w:vertAlign w:val="subscript"/>
        </w:rPr>
        <w:t>n</w:t>
      </w:r>
      <w:r w:rsidRPr="00642206">
        <w:rPr>
          <w:sz w:val="22"/>
          <w:szCs w:val="22"/>
        </w:rPr>
        <w:t xml:space="preserve"> could be lower to achieve TN prioritization over NTN. When UE camps on NTN cell, </w:t>
      </w:r>
      <w:r w:rsidR="00F02DF6" w:rsidRPr="00642206">
        <w:rPr>
          <w:sz w:val="22"/>
          <w:szCs w:val="22"/>
        </w:rPr>
        <w:t>network can set negative value for TN Qoffset, then R</w:t>
      </w:r>
      <w:r w:rsidR="00F02DF6" w:rsidRPr="00642206">
        <w:rPr>
          <w:sz w:val="22"/>
          <w:szCs w:val="22"/>
          <w:vertAlign w:val="subscript"/>
        </w:rPr>
        <w:t>n</w:t>
      </w:r>
      <w:r w:rsidR="00F02DF6" w:rsidRPr="00642206">
        <w:rPr>
          <w:sz w:val="22"/>
          <w:szCs w:val="22"/>
        </w:rPr>
        <w:t xml:space="preserve"> could be higher to achieve TN prioritization over NTN.</w:t>
      </w:r>
    </w:p>
    <w:p w14:paraId="0DAB2916" w14:textId="4528D37C" w:rsidR="00F02DF6" w:rsidRPr="00642206" w:rsidRDefault="00F02DF6" w:rsidP="00C32CE2">
      <w:pPr>
        <w:rPr>
          <w:sz w:val="22"/>
          <w:szCs w:val="22"/>
        </w:rPr>
      </w:pPr>
      <w:r w:rsidRPr="00642206">
        <w:rPr>
          <w:b/>
          <w:bCs/>
          <w:sz w:val="22"/>
          <w:szCs w:val="22"/>
        </w:rPr>
        <w:t>Observation 2: If TN and NTN are deployed with same frequency, network can set appropriate Qoffset value per cell to achieve TN prioritization over NTN.</w:t>
      </w:r>
    </w:p>
    <w:p w14:paraId="15EA270A" w14:textId="01D69000" w:rsidR="0076131A" w:rsidRPr="00642206" w:rsidRDefault="000E1C07" w:rsidP="00C32CE2">
      <w:pPr>
        <w:rPr>
          <w:sz w:val="22"/>
          <w:szCs w:val="22"/>
        </w:rPr>
      </w:pPr>
      <w:r w:rsidRPr="00642206">
        <w:rPr>
          <w:sz w:val="22"/>
          <w:szCs w:val="22"/>
        </w:rPr>
        <w:t xml:space="preserve">Furthermore, </w:t>
      </w:r>
      <w:r w:rsidR="000032A7" w:rsidRPr="00642206">
        <w:rPr>
          <w:sz w:val="22"/>
          <w:szCs w:val="22"/>
        </w:rPr>
        <w:t>the enhancements to measurement rule may also be beneficial. Currently for intra-frequency measurement, the rule is “</w:t>
      </w:r>
      <w:r w:rsidR="0076131A" w:rsidRPr="00642206">
        <w:rPr>
          <w:sz w:val="22"/>
          <w:szCs w:val="22"/>
        </w:rPr>
        <w:t>If the serving cell fulfils Srxlev</w:t>
      </w:r>
      <w:r w:rsidR="0076131A" w:rsidRPr="00642206">
        <w:rPr>
          <w:sz w:val="22"/>
          <w:szCs w:val="22"/>
          <w:vertAlign w:val="subscript"/>
        </w:rPr>
        <w:t xml:space="preserve"> </w:t>
      </w:r>
      <w:r w:rsidR="0076131A" w:rsidRPr="00642206">
        <w:rPr>
          <w:sz w:val="22"/>
          <w:szCs w:val="22"/>
        </w:rPr>
        <w:t>&gt; S</w:t>
      </w:r>
      <w:r w:rsidR="0076131A" w:rsidRPr="00642206">
        <w:rPr>
          <w:sz w:val="22"/>
          <w:szCs w:val="22"/>
          <w:vertAlign w:val="subscript"/>
        </w:rPr>
        <w:t>IntraSearchP</w:t>
      </w:r>
      <w:r w:rsidR="0076131A" w:rsidRPr="00642206">
        <w:rPr>
          <w:sz w:val="22"/>
          <w:szCs w:val="22"/>
        </w:rPr>
        <w:t xml:space="preserve"> and Squal &gt; S</w:t>
      </w:r>
      <w:r w:rsidR="0076131A" w:rsidRPr="00642206">
        <w:rPr>
          <w:sz w:val="22"/>
          <w:szCs w:val="22"/>
          <w:vertAlign w:val="subscript"/>
        </w:rPr>
        <w:t>IntraSearchQ</w:t>
      </w:r>
      <w:r w:rsidR="0076131A" w:rsidRPr="00642206">
        <w:rPr>
          <w:sz w:val="22"/>
          <w:szCs w:val="22"/>
        </w:rPr>
        <w:t>, the UE may choose not to perform intra-frequency measurements.</w:t>
      </w:r>
      <w:r w:rsidR="000032A7" w:rsidRPr="00642206">
        <w:rPr>
          <w:sz w:val="22"/>
          <w:szCs w:val="22"/>
        </w:rPr>
        <w:t xml:space="preserve">”. </w:t>
      </w:r>
      <w:r w:rsidR="00EC3121" w:rsidRPr="00642206">
        <w:rPr>
          <w:sz w:val="22"/>
          <w:szCs w:val="22"/>
        </w:rPr>
        <w:t>I</w:t>
      </w:r>
      <w:r w:rsidR="0076131A" w:rsidRPr="00642206">
        <w:rPr>
          <w:sz w:val="22"/>
          <w:szCs w:val="22"/>
        </w:rPr>
        <w:t>t means when the signal quality of serving cell is good enough, UE doesn’t need to perform intra-frequency measurements. This rule can still be applied when UE camps on TN cell. But when UE camps on a NTN cell, even if the signal quality of serving cell is good, it can still perform intra-frequency measurement on TN cells.</w:t>
      </w:r>
    </w:p>
    <w:p w14:paraId="1F5F03C7" w14:textId="6F608532" w:rsidR="00EC3121" w:rsidRDefault="00EC3121" w:rsidP="00C32CE2">
      <w:pPr>
        <w:rPr>
          <w:sz w:val="22"/>
          <w:szCs w:val="22"/>
        </w:rPr>
      </w:pPr>
      <w:r>
        <w:rPr>
          <w:sz w:val="22"/>
          <w:szCs w:val="22"/>
        </w:rPr>
        <w:t xml:space="preserve">As the wording is “may”, it can be left up to UE implementation whether to perform intra-frequency measurement on TN cells. But it might be useful to provide indication on whether neighbour cell is a </w:t>
      </w:r>
      <w:r w:rsidR="001075A4">
        <w:rPr>
          <w:sz w:val="22"/>
          <w:szCs w:val="22"/>
        </w:rPr>
        <w:t>N</w:t>
      </w:r>
      <w:r>
        <w:rPr>
          <w:sz w:val="22"/>
          <w:szCs w:val="22"/>
        </w:rPr>
        <w:t>TN cell in SIB, in this case UE doesn’t need to perform intra-frequency measurement on other NTN cells.</w:t>
      </w:r>
    </w:p>
    <w:p w14:paraId="7C32A4F6" w14:textId="4039ACCE" w:rsidR="00EC3121" w:rsidRPr="00EC3121" w:rsidRDefault="00EC3121" w:rsidP="00C32CE2">
      <w:pPr>
        <w:rPr>
          <w:b/>
          <w:bCs/>
          <w:sz w:val="22"/>
          <w:szCs w:val="22"/>
        </w:rPr>
      </w:pPr>
      <w:r w:rsidRPr="00EC3121">
        <w:rPr>
          <w:b/>
          <w:bCs/>
          <w:sz w:val="22"/>
          <w:szCs w:val="22"/>
        </w:rPr>
        <w:t xml:space="preserve">Proposal 2: RAN2 to discuss whether to provide indication on whether neighbour cell is a </w:t>
      </w:r>
      <w:r w:rsidR="0012351C">
        <w:rPr>
          <w:b/>
          <w:bCs/>
          <w:sz w:val="22"/>
          <w:szCs w:val="22"/>
        </w:rPr>
        <w:t>N</w:t>
      </w:r>
      <w:r w:rsidRPr="00EC3121">
        <w:rPr>
          <w:b/>
          <w:bCs/>
          <w:sz w:val="22"/>
          <w:szCs w:val="22"/>
        </w:rPr>
        <w:t>TN cell in SIB.</w:t>
      </w:r>
    </w:p>
    <w:p w14:paraId="7A94F4C8" w14:textId="1541CD30" w:rsidR="00413B0F" w:rsidRPr="006E3CCE" w:rsidRDefault="0076131A" w:rsidP="006E3CCE">
      <w:pPr>
        <w:rPr>
          <w:sz w:val="22"/>
          <w:szCs w:val="22"/>
        </w:rPr>
      </w:pPr>
      <w:r>
        <w:rPr>
          <w:sz w:val="22"/>
          <w:szCs w:val="22"/>
        </w:rPr>
        <w:t xml:space="preserve"> </w:t>
      </w:r>
    </w:p>
    <w:p w14:paraId="23A8CAB2" w14:textId="77D84259" w:rsidR="009F6669" w:rsidRDefault="009F6669" w:rsidP="00F17084">
      <w:pPr>
        <w:pStyle w:val="Heading1"/>
        <w:numPr>
          <w:ilvl w:val="0"/>
          <w:numId w:val="2"/>
        </w:numPr>
      </w:pPr>
      <w:r>
        <w:t>Conclusion</w:t>
      </w:r>
    </w:p>
    <w:p w14:paraId="00A4F195" w14:textId="2A85ACD4" w:rsidR="003D02C6" w:rsidRPr="00932F0E" w:rsidRDefault="00932F0E" w:rsidP="58EC049B">
      <w:pPr>
        <w:rPr>
          <w:lang w:val="en-US"/>
        </w:rPr>
      </w:pPr>
      <w:r w:rsidRPr="00932F0E">
        <w:rPr>
          <w:lang w:val="en-US"/>
        </w:rPr>
        <w:t xml:space="preserve">In this paper, we further discuss </w:t>
      </w:r>
      <w:r w:rsidR="00654E6E">
        <w:rPr>
          <w:lang w:val="en-US"/>
        </w:rPr>
        <w:t>how to achieve</w:t>
      </w:r>
      <w:r w:rsidR="00654E6E" w:rsidRPr="00654E6E">
        <w:t xml:space="preserve"> </w:t>
      </w:r>
      <w:r w:rsidR="00654E6E" w:rsidRPr="00654E6E">
        <w:rPr>
          <w:lang w:val="en-US"/>
        </w:rPr>
        <w:t>TN prioritization over NTN for idle mode</w:t>
      </w:r>
      <w:r w:rsidRPr="00932F0E">
        <w:rPr>
          <w:lang w:val="en-US"/>
        </w:rPr>
        <w:t>, and we have the following observations:</w:t>
      </w:r>
    </w:p>
    <w:p w14:paraId="3585C633" w14:textId="385FCCEB" w:rsidR="00654E6E" w:rsidRDefault="00654E6E" w:rsidP="00654E6E">
      <w:pPr>
        <w:rPr>
          <w:b/>
          <w:bCs/>
          <w:sz w:val="22"/>
          <w:szCs w:val="22"/>
        </w:rPr>
      </w:pPr>
      <w:r w:rsidRPr="00844F39">
        <w:rPr>
          <w:b/>
          <w:bCs/>
          <w:sz w:val="22"/>
          <w:szCs w:val="22"/>
        </w:rPr>
        <w:t>Observation 1: If TN and NTN are deployed with different frequencies, TN</w:t>
      </w:r>
      <w:r w:rsidR="00642206">
        <w:rPr>
          <w:b/>
          <w:bCs/>
          <w:sz w:val="22"/>
          <w:szCs w:val="22"/>
        </w:rPr>
        <w:t>’s frequency</w:t>
      </w:r>
      <w:r w:rsidRPr="00844F39">
        <w:rPr>
          <w:b/>
          <w:bCs/>
          <w:sz w:val="22"/>
          <w:szCs w:val="22"/>
        </w:rPr>
        <w:t xml:space="preserve"> can be set with a high priority while NTN’s frequency is with lower priority to achieve TN prioritization over NTN.</w:t>
      </w:r>
    </w:p>
    <w:p w14:paraId="56A3FC9C" w14:textId="77777777" w:rsidR="00654E6E" w:rsidRDefault="00654E6E" w:rsidP="00654E6E">
      <w:pPr>
        <w:rPr>
          <w:sz w:val="22"/>
          <w:szCs w:val="22"/>
        </w:rPr>
      </w:pPr>
      <w:r w:rsidRPr="00844F39">
        <w:rPr>
          <w:b/>
          <w:bCs/>
          <w:sz w:val="22"/>
          <w:szCs w:val="22"/>
        </w:rPr>
        <w:lastRenderedPageBreak/>
        <w:t xml:space="preserve">Observation </w:t>
      </w:r>
      <w:r>
        <w:rPr>
          <w:b/>
          <w:bCs/>
          <w:sz w:val="22"/>
          <w:szCs w:val="22"/>
        </w:rPr>
        <w:t>2</w:t>
      </w:r>
      <w:r w:rsidRPr="00844F39">
        <w:rPr>
          <w:b/>
          <w:bCs/>
          <w:sz w:val="22"/>
          <w:szCs w:val="22"/>
        </w:rPr>
        <w:t xml:space="preserve">: If TN and NTN are deployed with </w:t>
      </w:r>
      <w:r>
        <w:rPr>
          <w:b/>
          <w:bCs/>
          <w:sz w:val="22"/>
          <w:szCs w:val="22"/>
        </w:rPr>
        <w:t>same</w:t>
      </w:r>
      <w:r w:rsidRPr="00844F39">
        <w:rPr>
          <w:b/>
          <w:bCs/>
          <w:sz w:val="22"/>
          <w:szCs w:val="22"/>
        </w:rPr>
        <w:t xml:space="preserve"> frequenc</w:t>
      </w:r>
      <w:r>
        <w:rPr>
          <w:b/>
          <w:bCs/>
          <w:sz w:val="22"/>
          <w:szCs w:val="22"/>
        </w:rPr>
        <w:t>y</w:t>
      </w:r>
      <w:r w:rsidRPr="00844F39">
        <w:rPr>
          <w:b/>
          <w:bCs/>
          <w:sz w:val="22"/>
          <w:szCs w:val="22"/>
        </w:rPr>
        <w:t xml:space="preserve">, </w:t>
      </w:r>
      <w:r>
        <w:rPr>
          <w:b/>
          <w:bCs/>
          <w:sz w:val="22"/>
          <w:szCs w:val="22"/>
        </w:rPr>
        <w:t>network</w:t>
      </w:r>
      <w:r w:rsidRPr="00844F39">
        <w:rPr>
          <w:b/>
          <w:bCs/>
          <w:sz w:val="22"/>
          <w:szCs w:val="22"/>
        </w:rPr>
        <w:t xml:space="preserve"> can set </w:t>
      </w:r>
      <w:r>
        <w:rPr>
          <w:b/>
          <w:bCs/>
          <w:sz w:val="22"/>
          <w:szCs w:val="22"/>
        </w:rPr>
        <w:t xml:space="preserve">appropriate Qoffset value per cell </w:t>
      </w:r>
      <w:r w:rsidRPr="00844F39">
        <w:rPr>
          <w:b/>
          <w:bCs/>
          <w:sz w:val="22"/>
          <w:szCs w:val="22"/>
        </w:rPr>
        <w:t>to achieve TN prioritization over NTN.</w:t>
      </w:r>
    </w:p>
    <w:p w14:paraId="4D8D8C28" w14:textId="0C7A78B3" w:rsidR="00932F0E" w:rsidRPr="00932F0E" w:rsidRDefault="00932F0E" w:rsidP="58EC049B">
      <w:pPr>
        <w:rPr>
          <w:lang w:val="en-US"/>
        </w:rPr>
      </w:pPr>
      <w:r w:rsidRPr="00932F0E">
        <w:rPr>
          <w:lang w:val="en-US"/>
        </w:rPr>
        <w:t>And we propose:</w:t>
      </w:r>
    </w:p>
    <w:p w14:paraId="25221220" w14:textId="77777777" w:rsidR="00654E6E" w:rsidRPr="00EA38AE" w:rsidRDefault="00654E6E" w:rsidP="00654E6E">
      <w:pPr>
        <w:rPr>
          <w:b/>
          <w:bCs/>
          <w:sz w:val="22"/>
          <w:szCs w:val="22"/>
        </w:rPr>
      </w:pPr>
      <w:r w:rsidRPr="00EA38AE">
        <w:rPr>
          <w:b/>
          <w:bCs/>
          <w:sz w:val="22"/>
          <w:szCs w:val="22"/>
        </w:rPr>
        <w:t>Proposal 1: to avoid perform</w:t>
      </w:r>
      <w:r>
        <w:rPr>
          <w:b/>
          <w:bCs/>
          <w:sz w:val="22"/>
          <w:szCs w:val="22"/>
        </w:rPr>
        <w:t>ing</w:t>
      </w:r>
      <w:r w:rsidRPr="00EA38AE">
        <w:rPr>
          <w:b/>
          <w:bCs/>
          <w:sz w:val="22"/>
          <w:szCs w:val="22"/>
        </w:rPr>
        <w:t xml:space="preserve"> unnecessary measurements on TN frequencies, e.g.</w:t>
      </w:r>
      <w:r>
        <w:rPr>
          <w:b/>
          <w:bCs/>
          <w:sz w:val="22"/>
          <w:szCs w:val="22"/>
        </w:rPr>
        <w:t>,</w:t>
      </w:r>
      <w:r w:rsidRPr="00EA38AE">
        <w:rPr>
          <w:b/>
          <w:bCs/>
          <w:sz w:val="22"/>
          <w:szCs w:val="22"/>
        </w:rPr>
        <w:t xml:space="preserve"> when UE is far away from TN area, RAN2 to consider the following two candidate solutions:</w:t>
      </w:r>
    </w:p>
    <w:p w14:paraId="271E1564" w14:textId="77777777" w:rsidR="00654E6E" w:rsidRPr="00EA38AE" w:rsidRDefault="00654E6E" w:rsidP="00654E6E">
      <w:pPr>
        <w:rPr>
          <w:b/>
          <w:bCs/>
          <w:sz w:val="22"/>
          <w:szCs w:val="22"/>
        </w:rPr>
      </w:pPr>
      <w:r w:rsidRPr="00EA38AE">
        <w:rPr>
          <w:b/>
          <w:bCs/>
          <w:sz w:val="22"/>
          <w:szCs w:val="22"/>
        </w:rPr>
        <w:t xml:space="preserve">Option 1: if high priority TN cell cannot be detected for a period of time, then UE applies relaxed measurements to high priority TN </w:t>
      </w:r>
      <w:r>
        <w:rPr>
          <w:b/>
          <w:bCs/>
          <w:sz w:val="22"/>
          <w:szCs w:val="22"/>
        </w:rPr>
        <w:t>frequency</w:t>
      </w:r>
      <w:r w:rsidRPr="00EA38AE">
        <w:rPr>
          <w:b/>
          <w:bCs/>
          <w:sz w:val="22"/>
          <w:szCs w:val="22"/>
        </w:rPr>
        <w:t xml:space="preserve">. </w:t>
      </w:r>
    </w:p>
    <w:p w14:paraId="482766E8" w14:textId="77777777" w:rsidR="00654E6E" w:rsidRPr="00EA38AE" w:rsidRDefault="00654E6E" w:rsidP="00654E6E">
      <w:pPr>
        <w:rPr>
          <w:b/>
          <w:bCs/>
          <w:sz w:val="22"/>
          <w:szCs w:val="22"/>
        </w:rPr>
      </w:pPr>
      <w:r w:rsidRPr="00EA38AE">
        <w:rPr>
          <w:b/>
          <w:bCs/>
          <w:sz w:val="22"/>
          <w:szCs w:val="22"/>
        </w:rPr>
        <w:t>Option 2: network provides the coverage information of TN area to UE, e.g.</w:t>
      </w:r>
      <w:r>
        <w:rPr>
          <w:b/>
          <w:bCs/>
          <w:sz w:val="22"/>
          <w:szCs w:val="22"/>
        </w:rPr>
        <w:t>,</w:t>
      </w:r>
      <w:r w:rsidRPr="00EA38AE">
        <w:rPr>
          <w:b/>
          <w:bCs/>
          <w:sz w:val="22"/>
          <w:szCs w:val="22"/>
        </w:rPr>
        <w:t xml:space="preserve"> area centre and radius, UE only starts measurements on TN frequencies when it is near </w:t>
      </w:r>
      <w:r>
        <w:rPr>
          <w:b/>
          <w:bCs/>
          <w:sz w:val="22"/>
          <w:szCs w:val="22"/>
        </w:rPr>
        <w:t xml:space="preserve">or within </w:t>
      </w:r>
      <w:r w:rsidRPr="00EA38AE">
        <w:rPr>
          <w:b/>
          <w:bCs/>
          <w:sz w:val="22"/>
          <w:szCs w:val="22"/>
        </w:rPr>
        <w:t>TN area.</w:t>
      </w:r>
    </w:p>
    <w:p w14:paraId="04CD2B72" w14:textId="334B7990" w:rsidR="00654E6E" w:rsidRPr="00EC3121" w:rsidRDefault="00654E6E" w:rsidP="00654E6E">
      <w:pPr>
        <w:rPr>
          <w:b/>
          <w:bCs/>
          <w:sz w:val="22"/>
          <w:szCs w:val="22"/>
        </w:rPr>
      </w:pPr>
      <w:r w:rsidRPr="00EC3121">
        <w:rPr>
          <w:b/>
          <w:bCs/>
          <w:sz w:val="22"/>
          <w:szCs w:val="22"/>
        </w:rPr>
        <w:t xml:space="preserve">Proposal 2: RAN2 to discuss whether to provide indication on whether neighbour cell is a </w:t>
      </w:r>
      <w:r w:rsidR="00F21819">
        <w:rPr>
          <w:b/>
          <w:bCs/>
          <w:sz w:val="22"/>
          <w:szCs w:val="22"/>
        </w:rPr>
        <w:t>N</w:t>
      </w:r>
      <w:r w:rsidRPr="00EC3121">
        <w:rPr>
          <w:b/>
          <w:bCs/>
          <w:sz w:val="22"/>
          <w:szCs w:val="22"/>
        </w:rPr>
        <w:t>TN cell in SIB.</w:t>
      </w:r>
    </w:p>
    <w:p w14:paraId="52350B0B" w14:textId="66311A5C" w:rsidR="00932F0E" w:rsidRDefault="00932F0E" w:rsidP="00932F0E">
      <w:pPr>
        <w:rPr>
          <w:b/>
          <w:bCs/>
          <w:sz w:val="22"/>
          <w:szCs w:val="22"/>
        </w:rPr>
      </w:pPr>
    </w:p>
    <w:p w14:paraId="51752851" w14:textId="77777777" w:rsidR="00932F0E" w:rsidRPr="00932F0E" w:rsidRDefault="00932F0E" w:rsidP="58EC049B">
      <w:pPr>
        <w:rPr>
          <w:b/>
          <w:bCs/>
        </w:rPr>
      </w:pPr>
    </w:p>
    <w:sectPr w:rsidR="00932F0E" w:rsidRPr="00932F0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D4438" w14:textId="77777777" w:rsidR="00BA4645" w:rsidRDefault="00BA4645" w:rsidP="00DD7929">
      <w:pPr>
        <w:spacing w:after="0"/>
      </w:pPr>
      <w:r>
        <w:separator/>
      </w:r>
    </w:p>
  </w:endnote>
  <w:endnote w:type="continuationSeparator" w:id="0">
    <w:p w14:paraId="02DBF658" w14:textId="77777777" w:rsidR="00BA4645" w:rsidRDefault="00BA4645" w:rsidP="00DD7929">
      <w:pPr>
        <w:spacing w:after="0"/>
      </w:pPr>
      <w:r>
        <w:continuationSeparator/>
      </w:r>
    </w:p>
  </w:endnote>
  <w:endnote w:type="continuationNotice" w:id="1">
    <w:p w14:paraId="75C663E6" w14:textId="77777777" w:rsidR="00BA4645" w:rsidRDefault="00BA4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FA38" w14:textId="77777777" w:rsidR="00E23667" w:rsidRDefault="00E23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A527E" w14:textId="77777777" w:rsidR="00E23667" w:rsidRDefault="00E23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D71EB" w14:textId="77777777" w:rsidR="00BA4645" w:rsidRDefault="00BA4645" w:rsidP="00DD7929">
      <w:pPr>
        <w:spacing w:after="0"/>
      </w:pPr>
      <w:r>
        <w:separator/>
      </w:r>
    </w:p>
  </w:footnote>
  <w:footnote w:type="continuationSeparator" w:id="0">
    <w:p w14:paraId="60C4D679" w14:textId="77777777" w:rsidR="00BA4645" w:rsidRDefault="00BA4645" w:rsidP="00DD7929">
      <w:pPr>
        <w:spacing w:after="0"/>
      </w:pPr>
      <w:r>
        <w:continuationSeparator/>
      </w:r>
    </w:p>
  </w:footnote>
  <w:footnote w:type="continuationNotice" w:id="1">
    <w:p w14:paraId="084F1538" w14:textId="77777777" w:rsidR="00BA4645" w:rsidRDefault="00BA46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EDE14" w14:textId="77777777" w:rsidR="00E23667" w:rsidRDefault="00E23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D76C8" w14:textId="77777777" w:rsidR="00E23667" w:rsidRDefault="00E23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0"/>
  </w:num>
  <w:num w:numId="4">
    <w:abstractNumId w:val="24"/>
  </w:num>
  <w:num w:numId="5">
    <w:abstractNumId w:val="15"/>
  </w:num>
  <w:num w:numId="6">
    <w:abstractNumId w:val="26"/>
  </w:num>
  <w:num w:numId="7">
    <w:abstractNumId w:val="12"/>
  </w:num>
  <w:num w:numId="8">
    <w:abstractNumId w:val="22"/>
  </w:num>
  <w:num w:numId="9">
    <w:abstractNumId w:val="9"/>
  </w:num>
  <w:num w:numId="10">
    <w:abstractNumId w:val="30"/>
  </w:num>
  <w:num w:numId="11">
    <w:abstractNumId w:val="27"/>
  </w:num>
  <w:num w:numId="12">
    <w:abstractNumId w:val="6"/>
  </w:num>
  <w:num w:numId="13">
    <w:abstractNumId w:val="31"/>
  </w:num>
  <w:num w:numId="14">
    <w:abstractNumId w:val="19"/>
  </w:num>
  <w:num w:numId="15">
    <w:abstractNumId w:val="21"/>
  </w:num>
  <w:num w:numId="16">
    <w:abstractNumId w:val="10"/>
  </w:num>
  <w:num w:numId="17">
    <w:abstractNumId w:val="17"/>
  </w:num>
  <w:num w:numId="18">
    <w:abstractNumId w:val="11"/>
  </w:num>
  <w:num w:numId="19">
    <w:abstractNumId w:val="4"/>
  </w:num>
  <w:num w:numId="20">
    <w:abstractNumId w:val="28"/>
  </w:num>
  <w:num w:numId="21">
    <w:abstractNumId w:val="29"/>
  </w:num>
  <w:num w:numId="22">
    <w:abstractNumId w:val="7"/>
  </w:num>
  <w:num w:numId="23">
    <w:abstractNumId w:val="18"/>
  </w:num>
  <w:num w:numId="24">
    <w:abstractNumId w:val="3"/>
  </w:num>
  <w:num w:numId="25">
    <w:abstractNumId w:val="8"/>
  </w:num>
  <w:num w:numId="26">
    <w:abstractNumId w:val="23"/>
  </w:num>
  <w:num w:numId="27">
    <w:abstractNumId w:val="25"/>
  </w:num>
  <w:num w:numId="28">
    <w:abstractNumId w:val="13"/>
  </w:num>
  <w:num w:numId="29">
    <w:abstractNumId w:val="1"/>
  </w:num>
  <w:num w:numId="30">
    <w:abstractNumId w:val="2"/>
  </w:num>
  <w:num w:numId="31">
    <w:abstractNumId w:val="32"/>
  </w:num>
  <w:num w:numId="32">
    <w:abstractNumId w:val="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7AD5"/>
    <w:rsid w:val="00010FA4"/>
    <w:rsid w:val="000121BE"/>
    <w:rsid w:val="00013C53"/>
    <w:rsid w:val="0001413C"/>
    <w:rsid w:val="00017A21"/>
    <w:rsid w:val="000217A3"/>
    <w:rsid w:val="00022625"/>
    <w:rsid w:val="00023715"/>
    <w:rsid w:val="00026530"/>
    <w:rsid w:val="0002752D"/>
    <w:rsid w:val="000326C8"/>
    <w:rsid w:val="00034B89"/>
    <w:rsid w:val="0003549F"/>
    <w:rsid w:val="000372D8"/>
    <w:rsid w:val="00037965"/>
    <w:rsid w:val="00037AB6"/>
    <w:rsid w:val="0004058E"/>
    <w:rsid w:val="00041E00"/>
    <w:rsid w:val="000433B7"/>
    <w:rsid w:val="00045DC1"/>
    <w:rsid w:val="00046488"/>
    <w:rsid w:val="0005139D"/>
    <w:rsid w:val="00053CAF"/>
    <w:rsid w:val="00057C99"/>
    <w:rsid w:val="00057FF2"/>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3BD6"/>
    <w:rsid w:val="000D5A70"/>
    <w:rsid w:val="000D75A3"/>
    <w:rsid w:val="000E1282"/>
    <w:rsid w:val="000E139A"/>
    <w:rsid w:val="000E1C07"/>
    <w:rsid w:val="000E66B7"/>
    <w:rsid w:val="000E760F"/>
    <w:rsid w:val="000F1CE8"/>
    <w:rsid w:val="000F6981"/>
    <w:rsid w:val="0010099E"/>
    <w:rsid w:val="001013D3"/>
    <w:rsid w:val="0010160E"/>
    <w:rsid w:val="001017B8"/>
    <w:rsid w:val="00101A72"/>
    <w:rsid w:val="001030D8"/>
    <w:rsid w:val="00103307"/>
    <w:rsid w:val="00104CFA"/>
    <w:rsid w:val="00104FE8"/>
    <w:rsid w:val="00106ABA"/>
    <w:rsid w:val="001075A4"/>
    <w:rsid w:val="001110DC"/>
    <w:rsid w:val="00113BFE"/>
    <w:rsid w:val="001156FB"/>
    <w:rsid w:val="00115CCC"/>
    <w:rsid w:val="0012351C"/>
    <w:rsid w:val="00124335"/>
    <w:rsid w:val="00125BD7"/>
    <w:rsid w:val="00133A31"/>
    <w:rsid w:val="00134120"/>
    <w:rsid w:val="00134957"/>
    <w:rsid w:val="001401DE"/>
    <w:rsid w:val="0014119B"/>
    <w:rsid w:val="0014360E"/>
    <w:rsid w:val="00143A18"/>
    <w:rsid w:val="00144AB5"/>
    <w:rsid w:val="0015051A"/>
    <w:rsid w:val="00150908"/>
    <w:rsid w:val="0015152C"/>
    <w:rsid w:val="0015259F"/>
    <w:rsid w:val="00153512"/>
    <w:rsid w:val="00154516"/>
    <w:rsid w:val="00154665"/>
    <w:rsid w:val="0016090C"/>
    <w:rsid w:val="00165EDA"/>
    <w:rsid w:val="001660D1"/>
    <w:rsid w:val="00167FC9"/>
    <w:rsid w:val="00170383"/>
    <w:rsid w:val="001719C1"/>
    <w:rsid w:val="0017222C"/>
    <w:rsid w:val="001743C4"/>
    <w:rsid w:val="00174C46"/>
    <w:rsid w:val="001771B5"/>
    <w:rsid w:val="001772FB"/>
    <w:rsid w:val="00190069"/>
    <w:rsid w:val="00191BF3"/>
    <w:rsid w:val="00194E82"/>
    <w:rsid w:val="001966B4"/>
    <w:rsid w:val="0019688D"/>
    <w:rsid w:val="0019776A"/>
    <w:rsid w:val="00197B66"/>
    <w:rsid w:val="001A163D"/>
    <w:rsid w:val="001A2090"/>
    <w:rsid w:val="001A3DAA"/>
    <w:rsid w:val="001A47E4"/>
    <w:rsid w:val="001A4BCF"/>
    <w:rsid w:val="001A6D16"/>
    <w:rsid w:val="001A7EE7"/>
    <w:rsid w:val="001B1456"/>
    <w:rsid w:val="001B1528"/>
    <w:rsid w:val="001B158D"/>
    <w:rsid w:val="001B2A13"/>
    <w:rsid w:val="001B3EB5"/>
    <w:rsid w:val="001B438E"/>
    <w:rsid w:val="001C371E"/>
    <w:rsid w:val="001C3E69"/>
    <w:rsid w:val="001C3EA4"/>
    <w:rsid w:val="001C409F"/>
    <w:rsid w:val="001D0302"/>
    <w:rsid w:val="001D0410"/>
    <w:rsid w:val="001D0BBF"/>
    <w:rsid w:val="001D4710"/>
    <w:rsid w:val="001D5AC8"/>
    <w:rsid w:val="001E0108"/>
    <w:rsid w:val="001E38EE"/>
    <w:rsid w:val="001E4E20"/>
    <w:rsid w:val="001E5908"/>
    <w:rsid w:val="001E6A68"/>
    <w:rsid w:val="001E7080"/>
    <w:rsid w:val="001F1A02"/>
    <w:rsid w:val="001F2B40"/>
    <w:rsid w:val="001F3EA7"/>
    <w:rsid w:val="001F4708"/>
    <w:rsid w:val="001F6228"/>
    <w:rsid w:val="001F7796"/>
    <w:rsid w:val="00201241"/>
    <w:rsid w:val="0020420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F38"/>
    <w:rsid w:val="00245419"/>
    <w:rsid w:val="00245444"/>
    <w:rsid w:val="00245558"/>
    <w:rsid w:val="00245B02"/>
    <w:rsid w:val="00250C13"/>
    <w:rsid w:val="00251E8C"/>
    <w:rsid w:val="00251F6E"/>
    <w:rsid w:val="0025531E"/>
    <w:rsid w:val="00256178"/>
    <w:rsid w:val="002565B9"/>
    <w:rsid w:val="00256C02"/>
    <w:rsid w:val="00257E4C"/>
    <w:rsid w:val="00265960"/>
    <w:rsid w:val="00271095"/>
    <w:rsid w:val="002716BD"/>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F1379"/>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871"/>
    <w:rsid w:val="003225DD"/>
    <w:rsid w:val="00323BBE"/>
    <w:rsid w:val="0032642A"/>
    <w:rsid w:val="003269F7"/>
    <w:rsid w:val="00331FB3"/>
    <w:rsid w:val="0033308E"/>
    <w:rsid w:val="00334807"/>
    <w:rsid w:val="00334980"/>
    <w:rsid w:val="00340CC5"/>
    <w:rsid w:val="00341A3B"/>
    <w:rsid w:val="00347526"/>
    <w:rsid w:val="003517F0"/>
    <w:rsid w:val="00352554"/>
    <w:rsid w:val="00357146"/>
    <w:rsid w:val="0036157E"/>
    <w:rsid w:val="00364730"/>
    <w:rsid w:val="0036490C"/>
    <w:rsid w:val="00364B50"/>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B092F"/>
    <w:rsid w:val="003B4EF0"/>
    <w:rsid w:val="003C0EA9"/>
    <w:rsid w:val="003C12A7"/>
    <w:rsid w:val="003C395D"/>
    <w:rsid w:val="003C6AA0"/>
    <w:rsid w:val="003C72EB"/>
    <w:rsid w:val="003C7822"/>
    <w:rsid w:val="003D02C6"/>
    <w:rsid w:val="003D05C6"/>
    <w:rsid w:val="003D1C70"/>
    <w:rsid w:val="003D483E"/>
    <w:rsid w:val="003D4BE3"/>
    <w:rsid w:val="003D518A"/>
    <w:rsid w:val="003D53AC"/>
    <w:rsid w:val="003E1BE6"/>
    <w:rsid w:val="003E6C26"/>
    <w:rsid w:val="003E6EC2"/>
    <w:rsid w:val="003F0846"/>
    <w:rsid w:val="003F0C4D"/>
    <w:rsid w:val="003F4495"/>
    <w:rsid w:val="003F5DFA"/>
    <w:rsid w:val="003F6CCB"/>
    <w:rsid w:val="004002A4"/>
    <w:rsid w:val="00402B1A"/>
    <w:rsid w:val="00413B0F"/>
    <w:rsid w:val="0041476D"/>
    <w:rsid w:val="00420B6F"/>
    <w:rsid w:val="00420D77"/>
    <w:rsid w:val="00422837"/>
    <w:rsid w:val="00425160"/>
    <w:rsid w:val="00426144"/>
    <w:rsid w:val="00427C67"/>
    <w:rsid w:val="0043038D"/>
    <w:rsid w:val="004429AA"/>
    <w:rsid w:val="00442BAD"/>
    <w:rsid w:val="00443603"/>
    <w:rsid w:val="0044554C"/>
    <w:rsid w:val="00446D38"/>
    <w:rsid w:val="004471DF"/>
    <w:rsid w:val="004531E4"/>
    <w:rsid w:val="00455E2E"/>
    <w:rsid w:val="00460D83"/>
    <w:rsid w:val="00461815"/>
    <w:rsid w:val="00463A36"/>
    <w:rsid w:val="00471A72"/>
    <w:rsid w:val="00473872"/>
    <w:rsid w:val="004743E4"/>
    <w:rsid w:val="004809FB"/>
    <w:rsid w:val="0048286F"/>
    <w:rsid w:val="00482F82"/>
    <w:rsid w:val="00486A72"/>
    <w:rsid w:val="00486BFB"/>
    <w:rsid w:val="00491AC3"/>
    <w:rsid w:val="004922B0"/>
    <w:rsid w:val="00492701"/>
    <w:rsid w:val="00492997"/>
    <w:rsid w:val="00493E8B"/>
    <w:rsid w:val="00494887"/>
    <w:rsid w:val="00495E98"/>
    <w:rsid w:val="004972EF"/>
    <w:rsid w:val="00497C2A"/>
    <w:rsid w:val="004A055C"/>
    <w:rsid w:val="004A2349"/>
    <w:rsid w:val="004A3F4E"/>
    <w:rsid w:val="004A638D"/>
    <w:rsid w:val="004A7AF9"/>
    <w:rsid w:val="004B1E82"/>
    <w:rsid w:val="004B3CF6"/>
    <w:rsid w:val="004B53BC"/>
    <w:rsid w:val="004C1E8F"/>
    <w:rsid w:val="004C2413"/>
    <w:rsid w:val="004C4E4E"/>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EAC"/>
    <w:rsid w:val="004F78D1"/>
    <w:rsid w:val="00501D7F"/>
    <w:rsid w:val="00502A3A"/>
    <w:rsid w:val="005037BB"/>
    <w:rsid w:val="0050388E"/>
    <w:rsid w:val="005061A2"/>
    <w:rsid w:val="00507DA6"/>
    <w:rsid w:val="0051151E"/>
    <w:rsid w:val="00511C33"/>
    <w:rsid w:val="005126F8"/>
    <w:rsid w:val="00514431"/>
    <w:rsid w:val="005150FC"/>
    <w:rsid w:val="0051638C"/>
    <w:rsid w:val="00521810"/>
    <w:rsid w:val="00521A7F"/>
    <w:rsid w:val="00523B51"/>
    <w:rsid w:val="00526440"/>
    <w:rsid w:val="0053095B"/>
    <w:rsid w:val="00533386"/>
    <w:rsid w:val="00533661"/>
    <w:rsid w:val="00533C18"/>
    <w:rsid w:val="0053649B"/>
    <w:rsid w:val="0053734E"/>
    <w:rsid w:val="00541708"/>
    <w:rsid w:val="00542579"/>
    <w:rsid w:val="00546D77"/>
    <w:rsid w:val="005507BE"/>
    <w:rsid w:val="005508EC"/>
    <w:rsid w:val="00551571"/>
    <w:rsid w:val="00552C7E"/>
    <w:rsid w:val="0055375E"/>
    <w:rsid w:val="00554534"/>
    <w:rsid w:val="00557A6A"/>
    <w:rsid w:val="00560892"/>
    <w:rsid w:val="0056189A"/>
    <w:rsid w:val="00561C49"/>
    <w:rsid w:val="005647E2"/>
    <w:rsid w:val="0056567B"/>
    <w:rsid w:val="00571F85"/>
    <w:rsid w:val="00572BD5"/>
    <w:rsid w:val="00577EC9"/>
    <w:rsid w:val="005811AF"/>
    <w:rsid w:val="00581C36"/>
    <w:rsid w:val="00582303"/>
    <w:rsid w:val="00582DEE"/>
    <w:rsid w:val="00583D05"/>
    <w:rsid w:val="00584213"/>
    <w:rsid w:val="00586079"/>
    <w:rsid w:val="00590442"/>
    <w:rsid w:val="00590A06"/>
    <w:rsid w:val="00590FFC"/>
    <w:rsid w:val="00591212"/>
    <w:rsid w:val="00591AE5"/>
    <w:rsid w:val="005972B8"/>
    <w:rsid w:val="005A1C0B"/>
    <w:rsid w:val="005A66B6"/>
    <w:rsid w:val="005B16C7"/>
    <w:rsid w:val="005B6160"/>
    <w:rsid w:val="005B6637"/>
    <w:rsid w:val="005C4EF5"/>
    <w:rsid w:val="005C5F10"/>
    <w:rsid w:val="005C6075"/>
    <w:rsid w:val="005D2FEF"/>
    <w:rsid w:val="005D5B2D"/>
    <w:rsid w:val="005D64F1"/>
    <w:rsid w:val="005D6A22"/>
    <w:rsid w:val="005D6D93"/>
    <w:rsid w:val="005D72A5"/>
    <w:rsid w:val="005D76BF"/>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3836"/>
    <w:rsid w:val="00624BD8"/>
    <w:rsid w:val="00625CD0"/>
    <w:rsid w:val="00625F58"/>
    <w:rsid w:val="00626128"/>
    <w:rsid w:val="00626AC1"/>
    <w:rsid w:val="00627143"/>
    <w:rsid w:val="0063054D"/>
    <w:rsid w:val="00630585"/>
    <w:rsid w:val="0063281F"/>
    <w:rsid w:val="00632F75"/>
    <w:rsid w:val="0063382E"/>
    <w:rsid w:val="00634522"/>
    <w:rsid w:val="00635913"/>
    <w:rsid w:val="00637A18"/>
    <w:rsid w:val="006411CB"/>
    <w:rsid w:val="00642206"/>
    <w:rsid w:val="0064291F"/>
    <w:rsid w:val="00647028"/>
    <w:rsid w:val="0064770E"/>
    <w:rsid w:val="006528C2"/>
    <w:rsid w:val="0065374E"/>
    <w:rsid w:val="00653A6B"/>
    <w:rsid w:val="00654E07"/>
    <w:rsid w:val="00654E6E"/>
    <w:rsid w:val="00656A82"/>
    <w:rsid w:val="0065723E"/>
    <w:rsid w:val="00660CD2"/>
    <w:rsid w:val="00661EE4"/>
    <w:rsid w:val="006630CE"/>
    <w:rsid w:val="00663ECE"/>
    <w:rsid w:val="006647BF"/>
    <w:rsid w:val="006664D9"/>
    <w:rsid w:val="00671C39"/>
    <w:rsid w:val="0067283C"/>
    <w:rsid w:val="0067348B"/>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720"/>
    <w:rsid w:val="006C3F07"/>
    <w:rsid w:val="006C6290"/>
    <w:rsid w:val="006C7500"/>
    <w:rsid w:val="006C7F13"/>
    <w:rsid w:val="006D1E33"/>
    <w:rsid w:val="006D28BC"/>
    <w:rsid w:val="006D3C89"/>
    <w:rsid w:val="006D3F26"/>
    <w:rsid w:val="006D4124"/>
    <w:rsid w:val="006D597D"/>
    <w:rsid w:val="006D630F"/>
    <w:rsid w:val="006D654A"/>
    <w:rsid w:val="006D775F"/>
    <w:rsid w:val="006E1AF1"/>
    <w:rsid w:val="006E2570"/>
    <w:rsid w:val="006E39F2"/>
    <w:rsid w:val="006E3CCE"/>
    <w:rsid w:val="006E445F"/>
    <w:rsid w:val="006E61EE"/>
    <w:rsid w:val="006F2202"/>
    <w:rsid w:val="007003A3"/>
    <w:rsid w:val="00700FD0"/>
    <w:rsid w:val="00701375"/>
    <w:rsid w:val="007026BC"/>
    <w:rsid w:val="0070339F"/>
    <w:rsid w:val="007054EB"/>
    <w:rsid w:val="00707C83"/>
    <w:rsid w:val="00711097"/>
    <w:rsid w:val="00716BFF"/>
    <w:rsid w:val="0071757D"/>
    <w:rsid w:val="00717B1D"/>
    <w:rsid w:val="007208CC"/>
    <w:rsid w:val="0072218E"/>
    <w:rsid w:val="00722F34"/>
    <w:rsid w:val="00730E87"/>
    <w:rsid w:val="00731934"/>
    <w:rsid w:val="0073197B"/>
    <w:rsid w:val="007406BC"/>
    <w:rsid w:val="00740E56"/>
    <w:rsid w:val="00741F93"/>
    <w:rsid w:val="00743548"/>
    <w:rsid w:val="00743602"/>
    <w:rsid w:val="00743A8F"/>
    <w:rsid w:val="0074534D"/>
    <w:rsid w:val="0074587A"/>
    <w:rsid w:val="00747CDD"/>
    <w:rsid w:val="007537AD"/>
    <w:rsid w:val="00753976"/>
    <w:rsid w:val="007567A8"/>
    <w:rsid w:val="007574A9"/>
    <w:rsid w:val="00757832"/>
    <w:rsid w:val="00757DE4"/>
    <w:rsid w:val="0076131A"/>
    <w:rsid w:val="00761C9B"/>
    <w:rsid w:val="00762EB0"/>
    <w:rsid w:val="00764D40"/>
    <w:rsid w:val="00764E00"/>
    <w:rsid w:val="00764F51"/>
    <w:rsid w:val="007657EC"/>
    <w:rsid w:val="007673AF"/>
    <w:rsid w:val="007676DD"/>
    <w:rsid w:val="00770179"/>
    <w:rsid w:val="00771170"/>
    <w:rsid w:val="007721C3"/>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E297D"/>
    <w:rsid w:val="007E4180"/>
    <w:rsid w:val="007E6A0D"/>
    <w:rsid w:val="007F419C"/>
    <w:rsid w:val="007F4243"/>
    <w:rsid w:val="007F510D"/>
    <w:rsid w:val="00802397"/>
    <w:rsid w:val="00803146"/>
    <w:rsid w:val="0081035D"/>
    <w:rsid w:val="00811508"/>
    <w:rsid w:val="008126CA"/>
    <w:rsid w:val="00813892"/>
    <w:rsid w:val="0081651C"/>
    <w:rsid w:val="00820503"/>
    <w:rsid w:val="00822544"/>
    <w:rsid w:val="00824D06"/>
    <w:rsid w:val="00826415"/>
    <w:rsid w:val="0083280D"/>
    <w:rsid w:val="00832EF8"/>
    <w:rsid w:val="0083323B"/>
    <w:rsid w:val="00833B2D"/>
    <w:rsid w:val="00836B29"/>
    <w:rsid w:val="0083757D"/>
    <w:rsid w:val="00837950"/>
    <w:rsid w:val="008414D4"/>
    <w:rsid w:val="00841C68"/>
    <w:rsid w:val="00844F39"/>
    <w:rsid w:val="0084618A"/>
    <w:rsid w:val="00850FE0"/>
    <w:rsid w:val="00852048"/>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C3158"/>
    <w:rsid w:val="008C37C5"/>
    <w:rsid w:val="008C76E9"/>
    <w:rsid w:val="008D14D9"/>
    <w:rsid w:val="008D1EFE"/>
    <w:rsid w:val="008D3777"/>
    <w:rsid w:val="008D59AB"/>
    <w:rsid w:val="008E12A9"/>
    <w:rsid w:val="008E1FA2"/>
    <w:rsid w:val="008E3570"/>
    <w:rsid w:val="008E4C66"/>
    <w:rsid w:val="008E7993"/>
    <w:rsid w:val="008F1823"/>
    <w:rsid w:val="008F2DA2"/>
    <w:rsid w:val="008F55A1"/>
    <w:rsid w:val="008F6935"/>
    <w:rsid w:val="008F75EF"/>
    <w:rsid w:val="0090115F"/>
    <w:rsid w:val="00901D97"/>
    <w:rsid w:val="00902AAD"/>
    <w:rsid w:val="009038BA"/>
    <w:rsid w:val="00903FC9"/>
    <w:rsid w:val="0091001E"/>
    <w:rsid w:val="0091330E"/>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1867"/>
    <w:rsid w:val="00954387"/>
    <w:rsid w:val="00955A06"/>
    <w:rsid w:val="0095657C"/>
    <w:rsid w:val="00957F10"/>
    <w:rsid w:val="00961CB5"/>
    <w:rsid w:val="00963CEC"/>
    <w:rsid w:val="00964E7B"/>
    <w:rsid w:val="0096580F"/>
    <w:rsid w:val="009772DC"/>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C3F5F"/>
    <w:rsid w:val="009D04ED"/>
    <w:rsid w:val="009D5B8F"/>
    <w:rsid w:val="009E05A9"/>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205B"/>
    <w:rsid w:val="00A54B31"/>
    <w:rsid w:val="00A5727A"/>
    <w:rsid w:val="00A57331"/>
    <w:rsid w:val="00A63879"/>
    <w:rsid w:val="00A669D3"/>
    <w:rsid w:val="00A73C0C"/>
    <w:rsid w:val="00A7416B"/>
    <w:rsid w:val="00A77EC8"/>
    <w:rsid w:val="00A806CB"/>
    <w:rsid w:val="00A83332"/>
    <w:rsid w:val="00A8389E"/>
    <w:rsid w:val="00A83AA2"/>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C0A20"/>
    <w:rsid w:val="00AC0B67"/>
    <w:rsid w:val="00AC1089"/>
    <w:rsid w:val="00AC1FC3"/>
    <w:rsid w:val="00AC38B9"/>
    <w:rsid w:val="00AC483F"/>
    <w:rsid w:val="00AD0744"/>
    <w:rsid w:val="00AD1367"/>
    <w:rsid w:val="00AD1A98"/>
    <w:rsid w:val="00AD3C6D"/>
    <w:rsid w:val="00AD6A5B"/>
    <w:rsid w:val="00AD7A92"/>
    <w:rsid w:val="00AD7ACB"/>
    <w:rsid w:val="00AE1006"/>
    <w:rsid w:val="00AE3F75"/>
    <w:rsid w:val="00AE3F8B"/>
    <w:rsid w:val="00AE5685"/>
    <w:rsid w:val="00AF3800"/>
    <w:rsid w:val="00AF6414"/>
    <w:rsid w:val="00B0131D"/>
    <w:rsid w:val="00B0254F"/>
    <w:rsid w:val="00B06EA4"/>
    <w:rsid w:val="00B1063F"/>
    <w:rsid w:val="00B1468D"/>
    <w:rsid w:val="00B15C44"/>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57C3E"/>
    <w:rsid w:val="00B6091B"/>
    <w:rsid w:val="00B63721"/>
    <w:rsid w:val="00B638FF"/>
    <w:rsid w:val="00B63D50"/>
    <w:rsid w:val="00B63FC9"/>
    <w:rsid w:val="00B643FD"/>
    <w:rsid w:val="00B644F2"/>
    <w:rsid w:val="00B64510"/>
    <w:rsid w:val="00B658A0"/>
    <w:rsid w:val="00B71367"/>
    <w:rsid w:val="00B7268E"/>
    <w:rsid w:val="00B72693"/>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6E7"/>
    <w:rsid w:val="00B942A2"/>
    <w:rsid w:val="00B95467"/>
    <w:rsid w:val="00B95929"/>
    <w:rsid w:val="00B95C8F"/>
    <w:rsid w:val="00B961D5"/>
    <w:rsid w:val="00B96998"/>
    <w:rsid w:val="00BA079E"/>
    <w:rsid w:val="00BA1303"/>
    <w:rsid w:val="00BA3EF9"/>
    <w:rsid w:val="00BA4645"/>
    <w:rsid w:val="00BA4BF4"/>
    <w:rsid w:val="00BA6B09"/>
    <w:rsid w:val="00BB0074"/>
    <w:rsid w:val="00BB1164"/>
    <w:rsid w:val="00BB37B0"/>
    <w:rsid w:val="00BB5BA6"/>
    <w:rsid w:val="00BB6256"/>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5A8A"/>
    <w:rsid w:val="00BE68FC"/>
    <w:rsid w:val="00BE6DDA"/>
    <w:rsid w:val="00BF23EC"/>
    <w:rsid w:val="00BF53A2"/>
    <w:rsid w:val="00BF581C"/>
    <w:rsid w:val="00BF6B4C"/>
    <w:rsid w:val="00BF6BFA"/>
    <w:rsid w:val="00BF7AED"/>
    <w:rsid w:val="00C00579"/>
    <w:rsid w:val="00C007AD"/>
    <w:rsid w:val="00C040FF"/>
    <w:rsid w:val="00C052A4"/>
    <w:rsid w:val="00C074C1"/>
    <w:rsid w:val="00C105A5"/>
    <w:rsid w:val="00C10851"/>
    <w:rsid w:val="00C15A43"/>
    <w:rsid w:val="00C17877"/>
    <w:rsid w:val="00C17F52"/>
    <w:rsid w:val="00C204F9"/>
    <w:rsid w:val="00C22D64"/>
    <w:rsid w:val="00C24B52"/>
    <w:rsid w:val="00C25520"/>
    <w:rsid w:val="00C261F4"/>
    <w:rsid w:val="00C273BF"/>
    <w:rsid w:val="00C31DCE"/>
    <w:rsid w:val="00C32334"/>
    <w:rsid w:val="00C32CE2"/>
    <w:rsid w:val="00C35D35"/>
    <w:rsid w:val="00C415EC"/>
    <w:rsid w:val="00C42363"/>
    <w:rsid w:val="00C45052"/>
    <w:rsid w:val="00C45D64"/>
    <w:rsid w:val="00C463A3"/>
    <w:rsid w:val="00C5089F"/>
    <w:rsid w:val="00C51D1A"/>
    <w:rsid w:val="00C53ECF"/>
    <w:rsid w:val="00C551FD"/>
    <w:rsid w:val="00C60D80"/>
    <w:rsid w:val="00C616F8"/>
    <w:rsid w:val="00C61905"/>
    <w:rsid w:val="00C624ED"/>
    <w:rsid w:val="00C632E8"/>
    <w:rsid w:val="00C659A5"/>
    <w:rsid w:val="00C65FAC"/>
    <w:rsid w:val="00C67930"/>
    <w:rsid w:val="00C70292"/>
    <w:rsid w:val="00C71703"/>
    <w:rsid w:val="00C7180B"/>
    <w:rsid w:val="00C72207"/>
    <w:rsid w:val="00C76BCC"/>
    <w:rsid w:val="00C770D3"/>
    <w:rsid w:val="00C775B0"/>
    <w:rsid w:val="00C77783"/>
    <w:rsid w:val="00C80506"/>
    <w:rsid w:val="00C8269C"/>
    <w:rsid w:val="00C84095"/>
    <w:rsid w:val="00C86715"/>
    <w:rsid w:val="00C86BE7"/>
    <w:rsid w:val="00C90F33"/>
    <w:rsid w:val="00C93734"/>
    <w:rsid w:val="00C9413B"/>
    <w:rsid w:val="00C94B98"/>
    <w:rsid w:val="00C97324"/>
    <w:rsid w:val="00CA1776"/>
    <w:rsid w:val="00CA4E25"/>
    <w:rsid w:val="00CA605D"/>
    <w:rsid w:val="00CA7441"/>
    <w:rsid w:val="00CA76B6"/>
    <w:rsid w:val="00CA7C10"/>
    <w:rsid w:val="00CB065B"/>
    <w:rsid w:val="00CB38D7"/>
    <w:rsid w:val="00CB737E"/>
    <w:rsid w:val="00CB7FA8"/>
    <w:rsid w:val="00CC11E7"/>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2C2C"/>
    <w:rsid w:val="00D63BDF"/>
    <w:rsid w:val="00D64631"/>
    <w:rsid w:val="00D64851"/>
    <w:rsid w:val="00D65CA9"/>
    <w:rsid w:val="00D67AFB"/>
    <w:rsid w:val="00D70F05"/>
    <w:rsid w:val="00D72C4B"/>
    <w:rsid w:val="00D73033"/>
    <w:rsid w:val="00D750DA"/>
    <w:rsid w:val="00D76DE1"/>
    <w:rsid w:val="00D82B75"/>
    <w:rsid w:val="00D83C07"/>
    <w:rsid w:val="00D9215B"/>
    <w:rsid w:val="00D94BB8"/>
    <w:rsid w:val="00D95AFC"/>
    <w:rsid w:val="00D97716"/>
    <w:rsid w:val="00D97732"/>
    <w:rsid w:val="00DA1D94"/>
    <w:rsid w:val="00DA3353"/>
    <w:rsid w:val="00DB425E"/>
    <w:rsid w:val="00DB54D0"/>
    <w:rsid w:val="00DB7C37"/>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71AD"/>
    <w:rsid w:val="00E207EB"/>
    <w:rsid w:val="00E214D6"/>
    <w:rsid w:val="00E22394"/>
    <w:rsid w:val="00E231F9"/>
    <w:rsid w:val="00E23667"/>
    <w:rsid w:val="00E271B4"/>
    <w:rsid w:val="00E274AB"/>
    <w:rsid w:val="00E27C93"/>
    <w:rsid w:val="00E33098"/>
    <w:rsid w:val="00E3332D"/>
    <w:rsid w:val="00E334DE"/>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450"/>
    <w:rsid w:val="00E76457"/>
    <w:rsid w:val="00E80FD5"/>
    <w:rsid w:val="00E8182D"/>
    <w:rsid w:val="00E81FEF"/>
    <w:rsid w:val="00E851E8"/>
    <w:rsid w:val="00E85D4A"/>
    <w:rsid w:val="00E86E72"/>
    <w:rsid w:val="00E878C8"/>
    <w:rsid w:val="00E90616"/>
    <w:rsid w:val="00E944F5"/>
    <w:rsid w:val="00E94E13"/>
    <w:rsid w:val="00E95C54"/>
    <w:rsid w:val="00EA13CD"/>
    <w:rsid w:val="00EA38AE"/>
    <w:rsid w:val="00EA7211"/>
    <w:rsid w:val="00EB4D67"/>
    <w:rsid w:val="00EB76AD"/>
    <w:rsid w:val="00EC1071"/>
    <w:rsid w:val="00EC1554"/>
    <w:rsid w:val="00EC3121"/>
    <w:rsid w:val="00EC421D"/>
    <w:rsid w:val="00EC4EB8"/>
    <w:rsid w:val="00EC574D"/>
    <w:rsid w:val="00EC7D10"/>
    <w:rsid w:val="00ED06AF"/>
    <w:rsid w:val="00EE01B1"/>
    <w:rsid w:val="00EE0F4C"/>
    <w:rsid w:val="00EE0F60"/>
    <w:rsid w:val="00EE107F"/>
    <w:rsid w:val="00EE1DB0"/>
    <w:rsid w:val="00EE25B0"/>
    <w:rsid w:val="00EE2B37"/>
    <w:rsid w:val="00EE31F1"/>
    <w:rsid w:val="00EE3BB5"/>
    <w:rsid w:val="00EE713D"/>
    <w:rsid w:val="00EF4082"/>
    <w:rsid w:val="00EF5DCB"/>
    <w:rsid w:val="00EF72E5"/>
    <w:rsid w:val="00EF7EB0"/>
    <w:rsid w:val="00F02200"/>
    <w:rsid w:val="00F02DF6"/>
    <w:rsid w:val="00F03865"/>
    <w:rsid w:val="00F0772B"/>
    <w:rsid w:val="00F11B9C"/>
    <w:rsid w:val="00F12B94"/>
    <w:rsid w:val="00F14689"/>
    <w:rsid w:val="00F14905"/>
    <w:rsid w:val="00F17084"/>
    <w:rsid w:val="00F2012D"/>
    <w:rsid w:val="00F21819"/>
    <w:rsid w:val="00F24943"/>
    <w:rsid w:val="00F24AAA"/>
    <w:rsid w:val="00F24C54"/>
    <w:rsid w:val="00F257FF"/>
    <w:rsid w:val="00F26303"/>
    <w:rsid w:val="00F2665A"/>
    <w:rsid w:val="00F3017F"/>
    <w:rsid w:val="00F302CD"/>
    <w:rsid w:val="00F30A36"/>
    <w:rsid w:val="00F311E4"/>
    <w:rsid w:val="00F32097"/>
    <w:rsid w:val="00F357DC"/>
    <w:rsid w:val="00F436E3"/>
    <w:rsid w:val="00F46BB0"/>
    <w:rsid w:val="00F476CE"/>
    <w:rsid w:val="00F47B2A"/>
    <w:rsid w:val="00F5147A"/>
    <w:rsid w:val="00F60CCD"/>
    <w:rsid w:val="00F646D9"/>
    <w:rsid w:val="00F64A14"/>
    <w:rsid w:val="00F665B7"/>
    <w:rsid w:val="00F67005"/>
    <w:rsid w:val="00F73A49"/>
    <w:rsid w:val="00F759A1"/>
    <w:rsid w:val="00F75ADB"/>
    <w:rsid w:val="00F76FC2"/>
    <w:rsid w:val="00F80A4A"/>
    <w:rsid w:val="00F80ED4"/>
    <w:rsid w:val="00F8287A"/>
    <w:rsid w:val="00F91877"/>
    <w:rsid w:val="00F91A0E"/>
    <w:rsid w:val="00F92AE6"/>
    <w:rsid w:val="00F93C49"/>
    <w:rsid w:val="00F945D2"/>
    <w:rsid w:val="00F94CD5"/>
    <w:rsid w:val="00FA0141"/>
    <w:rsid w:val="00FA25F6"/>
    <w:rsid w:val="00FA43BC"/>
    <w:rsid w:val="00FA6FF9"/>
    <w:rsid w:val="00FA7AAC"/>
    <w:rsid w:val="00FB28BE"/>
    <w:rsid w:val="00FB2CE7"/>
    <w:rsid w:val="00FB3EFB"/>
    <w:rsid w:val="00FB4FCF"/>
    <w:rsid w:val="00FB5EC4"/>
    <w:rsid w:val="00FB6349"/>
    <w:rsid w:val="00FB7234"/>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A13E1F4"/>
    <w:rsid w:val="1D7500CD"/>
    <w:rsid w:val="210A8FA2"/>
    <w:rsid w:val="23D794B9"/>
    <w:rsid w:val="252AB5DA"/>
    <w:rsid w:val="25C3DAB1"/>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2242">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5630</TotalTime>
  <Pages>4</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86</cp:revision>
  <dcterms:created xsi:type="dcterms:W3CDTF">2021-10-08T16:24:00Z</dcterms:created>
  <dcterms:modified xsi:type="dcterms:W3CDTF">2021-10-21T14:42:00Z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